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40B2" w14:textId="77777777" w:rsid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xml:space="preserve">Greetings and Good News!  </w:t>
      </w:r>
    </w:p>
    <w:p w14:paraId="76029F82" w14:textId="77777777" w:rsidR="00C24AFB" w:rsidRDefault="00C24AFB" w:rsidP="00C24AFB">
      <w:pPr>
        <w:spacing w:after="0" w:line="240" w:lineRule="auto"/>
        <w:rPr>
          <w:rFonts w:ascii="Calibri" w:eastAsia="Times New Roman" w:hAnsi="Calibri" w:cs="Calibri"/>
        </w:rPr>
      </w:pPr>
    </w:p>
    <w:p w14:paraId="0DCF21E1" w14:textId="594CE539"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xml:space="preserve">Please see below regarding Good Faith Estimate rules.  This information is from Colleen </w:t>
      </w:r>
      <w:proofErr w:type="spellStart"/>
      <w:r w:rsidRPr="00C24AFB">
        <w:rPr>
          <w:rFonts w:ascii="Calibri" w:eastAsia="Times New Roman" w:hAnsi="Calibri" w:cs="Calibri"/>
        </w:rPr>
        <w:t>Meiman</w:t>
      </w:r>
      <w:proofErr w:type="spellEnd"/>
      <w:r w:rsidRPr="00C24AFB">
        <w:rPr>
          <w:rFonts w:ascii="Calibri" w:eastAsia="Times New Roman" w:hAnsi="Calibri" w:cs="Calibri"/>
        </w:rPr>
        <w:t>, our shared PCA Federal Policy Director:</w:t>
      </w:r>
    </w:p>
    <w:p w14:paraId="5E5367FD"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w:t>
      </w:r>
    </w:p>
    <w:p w14:paraId="40C9380A"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There is good news regarding the requirements for CHCs to provide Good Faith Estimates (GFEs) to uninsured and self-pay* patients.  </w:t>
      </w:r>
      <w:r w:rsidRPr="00C24AFB">
        <w:rPr>
          <w:rFonts w:ascii="Calibri" w:eastAsia="Times New Roman" w:hAnsi="Calibri" w:cs="Calibri"/>
          <w:b/>
          <w:bCs/>
          <w:bdr w:val="none" w:sz="0" w:space="0" w:color="auto" w:frame="1"/>
          <w:shd w:val="clear" w:color="auto" w:fill="FFFF00"/>
        </w:rPr>
        <w:t>From a practical perspective, the requirement that CHCs include costs for services provided by non-CHC providers in the GFEs they give to uninsured and self-pay patients is </w:t>
      </w:r>
      <w:hyperlink r:id="rId5" w:tgtFrame="_blank" w:history="1">
        <w:r w:rsidRPr="00C24AFB">
          <w:rPr>
            <w:rFonts w:ascii="Calibri" w:eastAsia="Times New Roman" w:hAnsi="Calibri" w:cs="Calibri"/>
            <w:b/>
            <w:bCs/>
            <w:color w:val="0563C1"/>
            <w:u w:val="single"/>
            <w:bdr w:val="none" w:sz="0" w:space="0" w:color="auto" w:frame="1"/>
            <w:shd w:val="clear" w:color="auto" w:fill="FFFF00"/>
          </w:rPr>
          <w:t>on hold indefinitely</w:t>
        </w:r>
      </w:hyperlink>
      <w:r w:rsidRPr="00C24AFB">
        <w:rPr>
          <w:rFonts w:ascii="Calibri" w:eastAsia="Times New Roman" w:hAnsi="Calibri" w:cs="Calibri"/>
          <w:b/>
          <w:bCs/>
          <w:bdr w:val="none" w:sz="0" w:space="0" w:color="auto" w:frame="1"/>
          <w:shd w:val="clear" w:color="auto" w:fill="FFFF00"/>
        </w:rPr>
        <w:t>.</w:t>
      </w:r>
      <w:r w:rsidRPr="00C24AFB">
        <w:rPr>
          <w:rFonts w:ascii="Calibri" w:eastAsia="Times New Roman" w:hAnsi="Calibri" w:cs="Calibri"/>
          <w:b/>
          <w:bCs/>
        </w:rPr>
        <w:t> </w:t>
      </w:r>
    </w:p>
    <w:p w14:paraId="0277BD64"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w:t>
      </w:r>
    </w:p>
    <w:p w14:paraId="46A94C11"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From a legal perspective, the full story is a little more complicated, so here’s the background:</w:t>
      </w:r>
    </w:p>
    <w:p w14:paraId="67D7FE7E" w14:textId="77777777" w:rsidR="00C24AFB" w:rsidRPr="00C24AFB" w:rsidRDefault="00C24AFB" w:rsidP="00C24AFB">
      <w:pPr>
        <w:numPr>
          <w:ilvl w:val="0"/>
          <w:numId w:val="1"/>
        </w:numPr>
        <w:spacing w:after="0" w:line="231" w:lineRule="atLeast"/>
        <w:rPr>
          <w:rFonts w:ascii="Calibri" w:eastAsia="Times New Roman" w:hAnsi="Calibri" w:cs="Calibri"/>
        </w:rPr>
      </w:pPr>
      <w:r w:rsidRPr="00C24AFB">
        <w:rPr>
          <w:rFonts w:ascii="Calibri" w:eastAsia="Times New Roman" w:hAnsi="Calibri" w:cs="Calibri"/>
        </w:rPr>
        <w:t xml:space="preserve">The law which contains the GFE requirements – called the No Surprises Act – was enacted in late </w:t>
      </w:r>
      <w:proofErr w:type="gramStart"/>
      <w:r w:rsidRPr="00C24AFB">
        <w:rPr>
          <w:rFonts w:ascii="Calibri" w:eastAsia="Times New Roman" w:hAnsi="Calibri" w:cs="Calibri"/>
        </w:rPr>
        <w:t>2020,  It</w:t>
      </w:r>
      <w:proofErr w:type="gramEnd"/>
      <w:r w:rsidRPr="00C24AFB">
        <w:rPr>
          <w:rFonts w:ascii="Calibri" w:eastAsia="Times New Roman" w:hAnsi="Calibri" w:cs="Calibri"/>
        </w:rPr>
        <w:t xml:space="preserve"> officially requires that that all providers – including but not limited to CHCs – begin giving all patients GFEs starting this past January (2022).</w:t>
      </w:r>
    </w:p>
    <w:p w14:paraId="644B2234" w14:textId="77777777" w:rsidR="00C24AFB" w:rsidRPr="00C24AFB" w:rsidRDefault="00C24AFB" w:rsidP="00C24AFB">
      <w:pPr>
        <w:numPr>
          <w:ilvl w:val="0"/>
          <w:numId w:val="1"/>
        </w:numPr>
        <w:spacing w:after="0" w:line="231" w:lineRule="atLeast"/>
        <w:rPr>
          <w:rFonts w:ascii="Calibri" w:eastAsia="Times New Roman" w:hAnsi="Calibri" w:cs="Calibri"/>
        </w:rPr>
      </w:pPr>
      <w:r w:rsidRPr="00C24AFB">
        <w:rPr>
          <w:rFonts w:ascii="Calibri" w:eastAsia="Times New Roman" w:hAnsi="Calibri" w:cs="Calibri"/>
        </w:rPr>
        <w:t xml:space="preserve">When they began implementing the law, CMS immediately acknowledged that the GFE deadlines were largely unrealistic, so they said they’d exercise “enforcement discretion.”  That means that while the requirements are officially on-the-books, CMS would delay enforcing them until some point after the Jan. 1, </w:t>
      </w:r>
      <w:proofErr w:type="gramStart"/>
      <w:r w:rsidRPr="00C24AFB">
        <w:rPr>
          <w:rFonts w:ascii="Calibri" w:eastAsia="Times New Roman" w:hAnsi="Calibri" w:cs="Calibri"/>
        </w:rPr>
        <w:t>2022</w:t>
      </w:r>
      <w:proofErr w:type="gramEnd"/>
      <w:r w:rsidRPr="00C24AFB">
        <w:rPr>
          <w:rFonts w:ascii="Calibri" w:eastAsia="Times New Roman" w:hAnsi="Calibri" w:cs="Calibri"/>
        </w:rPr>
        <w:t xml:space="preserve"> legal effective date. </w:t>
      </w:r>
    </w:p>
    <w:p w14:paraId="316C1D74" w14:textId="77777777" w:rsidR="00C24AFB" w:rsidRPr="00C24AFB" w:rsidRDefault="00C24AFB" w:rsidP="00C24AFB">
      <w:pPr>
        <w:numPr>
          <w:ilvl w:val="0"/>
          <w:numId w:val="1"/>
        </w:numPr>
        <w:spacing w:after="0" w:line="231" w:lineRule="atLeast"/>
        <w:rPr>
          <w:rFonts w:ascii="Calibri" w:eastAsia="Times New Roman" w:hAnsi="Calibri" w:cs="Calibri"/>
        </w:rPr>
      </w:pPr>
      <w:r w:rsidRPr="00C24AFB">
        <w:rPr>
          <w:rFonts w:ascii="Calibri" w:eastAsia="Times New Roman" w:hAnsi="Calibri" w:cs="Calibri"/>
        </w:rPr>
        <w:t>To indicate how long they would delay enforcing the legal deadlines, CMS broke the GFE rules into three phases.  The chart below (&amp; attached) lays out the details, but in short:</w:t>
      </w:r>
    </w:p>
    <w:p w14:paraId="1BB2A896" w14:textId="77777777" w:rsidR="00C24AFB" w:rsidRPr="00C24AFB" w:rsidRDefault="00C24AFB" w:rsidP="00C24AFB">
      <w:pPr>
        <w:numPr>
          <w:ilvl w:val="1"/>
          <w:numId w:val="1"/>
        </w:numPr>
        <w:spacing w:after="0" w:line="231" w:lineRule="atLeast"/>
        <w:rPr>
          <w:rFonts w:ascii="Calibri" w:eastAsia="Times New Roman" w:hAnsi="Calibri" w:cs="Calibri"/>
        </w:rPr>
      </w:pPr>
      <w:r w:rsidRPr="00C24AFB">
        <w:rPr>
          <w:rFonts w:ascii="Calibri" w:eastAsia="Times New Roman" w:hAnsi="Calibri" w:cs="Calibri"/>
          <w:u w:val="single"/>
        </w:rPr>
        <w:t>Phase One</w:t>
      </w:r>
      <w:r w:rsidRPr="00C24AFB">
        <w:rPr>
          <w:rFonts w:ascii="Calibri" w:eastAsia="Times New Roman" w:hAnsi="Calibri" w:cs="Calibri"/>
        </w:rPr>
        <w:t> – GFEs must be provided:</w:t>
      </w:r>
    </w:p>
    <w:p w14:paraId="2FFA33DF" w14:textId="77777777" w:rsidR="00C24AFB" w:rsidRPr="00C24AFB" w:rsidRDefault="00C24AFB" w:rsidP="00C24AFB">
      <w:pPr>
        <w:numPr>
          <w:ilvl w:val="2"/>
          <w:numId w:val="1"/>
        </w:numPr>
        <w:spacing w:after="0" w:line="231" w:lineRule="atLeast"/>
        <w:rPr>
          <w:rFonts w:ascii="Calibri" w:eastAsia="Times New Roman" w:hAnsi="Calibri" w:cs="Calibri"/>
        </w:rPr>
      </w:pPr>
      <w:r w:rsidRPr="00C24AFB">
        <w:rPr>
          <w:rFonts w:ascii="Calibri" w:eastAsia="Times New Roman" w:hAnsi="Calibri" w:cs="Calibri"/>
        </w:rPr>
        <w:t>Only to uninsured and “self-pay” patients, and</w:t>
      </w:r>
    </w:p>
    <w:p w14:paraId="2CA4C063" w14:textId="77777777" w:rsidR="00C24AFB" w:rsidRPr="00C24AFB" w:rsidRDefault="00C24AFB" w:rsidP="00C24AFB">
      <w:pPr>
        <w:numPr>
          <w:ilvl w:val="2"/>
          <w:numId w:val="1"/>
        </w:numPr>
        <w:spacing w:after="0" w:line="231" w:lineRule="atLeast"/>
        <w:rPr>
          <w:rFonts w:ascii="Calibri" w:eastAsia="Times New Roman" w:hAnsi="Calibri" w:cs="Calibri"/>
        </w:rPr>
      </w:pPr>
      <w:r w:rsidRPr="00C24AFB">
        <w:rPr>
          <w:rFonts w:ascii="Calibri" w:eastAsia="Times New Roman" w:hAnsi="Calibri" w:cs="Calibri"/>
        </w:rPr>
        <w:t>Only include costs for services/items that are provided and billed </w:t>
      </w:r>
      <w:r w:rsidRPr="00C24AFB">
        <w:rPr>
          <w:rFonts w:ascii="Calibri" w:eastAsia="Times New Roman" w:hAnsi="Calibri" w:cs="Calibri"/>
          <w:i/>
          <w:iCs/>
          <w:u w:val="single"/>
        </w:rPr>
        <w:t>directly by the CHC</w:t>
      </w:r>
      <w:r w:rsidRPr="00C24AFB">
        <w:rPr>
          <w:rFonts w:ascii="Calibri" w:eastAsia="Times New Roman" w:hAnsi="Calibri" w:cs="Calibri"/>
        </w:rPr>
        <w:t>.</w:t>
      </w:r>
    </w:p>
    <w:p w14:paraId="47756FA7" w14:textId="77777777" w:rsidR="00C24AFB" w:rsidRPr="00C24AFB" w:rsidRDefault="00C24AFB" w:rsidP="00C24AFB">
      <w:pPr>
        <w:spacing w:after="0" w:line="231" w:lineRule="atLeast"/>
        <w:ind w:left="1440" w:hanging="360"/>
        <w:rPr>
          <w:rFonts w:ascii="Calibri" w:eastAsia="Times New Roman" w:hAnsi="Calibri" w:cs="Calibri"/>
        </w:rPr>
      </w:pPr>
      <w:r w:rsidRPr="00C24AFB">
        <w:rPr>
          <w:rFonts w:ascii="Courier New" w:eastAsia="Times New Roman" w:hAnsi="Courier New" w:cs="Courier New"/>
          <w:bdr w:val="none" w:sz="0" w:space="0" w:color="auto" w:frame="1"/>
        </w:rPr>
        <w:t>o</w:t>
      </w:r>
      <w:r w:rsidRPr="00C24AFB">
        <w:rPr>
          <w:rFonts w:ascii="Times New Roman" w:eastAsia="Times New Roman" w:hAnsi="Times New Roman" w:cs="Times New Roman"/>
          <w:sz w:val="14"/>
          <w:szCs w:val="14"/>
          <w:bdr w:val="none" w:sz="0" w:space="0" w:color="auto" w:frame="1"/>
        </w:rPr>
        <w:t>   </w:t>
      </w:r>
      <w:r w:rsidRPr="00C24AFB">
        <w:rPr>
          <w:rFonts w:ascii="Calibri" w:eastAsia="Times New Roman" w:hAnsi="Calibri" w:cs="Calibri"/>
          <w:u w:val="single"/>
        </w:rPr>
        <w:t>Phase Two</w:t>
      </w:r>
      <w:r w:rsidRPr="00C24AFB">
        <w:rPr>
          <w:rFonts w:ascii="Calibri" w:eastAsia="Times New Roman" w:hAnsi="Calibri" w:cs="Calibri"/>
        </w:rPr>
        <w:t> – GFEs for uninsured and self-pay patients must also include </w:t>
      </w:r>
      <w:r w:rsidRPr="00C24AFB">
        <w:rPr>
          <w:rFonts w:ascii="Calibri" w:eastAsia="Times New Roman" w:hAnsi="Calibri" w:cs="Calibri"/>
          <w:i/>
          <w:iCs/>
          <w:u w:val="single"/>
        </w:rPr>
        <w:t>costs for services/ items that the patient receives from outside (non-CHC) providers</w:t>
      </w:r>
      <w:r w:rsidRPr="00C24AFB">
        <w:rPr>
          <w:rFonts w:ascii="Calibri" w:eastAsia="Times New Roman" w:hAnsi="Calibri" w:cs="Calibri"/>
        </w:rPr>
        <w:t> during an “episode of care” that is coordinated by the CHC.</w:t>
      </w:r>
    </w:p>
    <w:p w14:paraId="7F4943C3" w14:textId="77777777" w:rsidR="00C24AFB" w:rsidRPr="00C24AFB" w:rsidRDefault="00C24AFB" w:rsidP="00C24AFB">
      <w:pPr>
        <w:spacing w:after="0" w:line="231" w:lineRule="atLeast"/>
        <w:ind w:left="1440" w:hanging="360"/>
        <w:rPr>
          <w:rFonts w:ascii="Calibri" w:eastAsia="Times New Roman" w:hAnsi="Calibri" w:cs="Calibri"/>
        </w:rPr>
      </w:pPr>
      <w:r w:rsidRPr="00C24AFB">
        <w:rPr>
          <w:rFonts w:ascii="Courier New" w:eastAsia="Times New Roman" w:hAnsi="Courier New" w:cs="Courier New"/>
          <w:bdr w:val="none" w:sz="0" w:space="0" w:color="auto" w:frame="1"/>
        </w:rPr>
        <w:t>o</w:t>
      </w:r>
      <w:r w:rsidRPr="00C24AFB">
        <w:rPr>
          <w:rFonts w:ascii="Times New Roman" w:eastAsia="Times New Roman" w:hAnsi="Times New Roman" w:cs="Times New Roman"/>
          <w:sz w:val="14"/>
          <w:szCs w:val="14"/>
          <w:bdr w:val="none" w:sz="0" w:space="0" w:color="auto" w:frame="1"/>
        </w:rPr>
        <w:t>   </w:t>
      </w:r>
      <w:r w:rsidRPr="00C24AFB">
        <w:rPr>
          <w:rFonts w:ascii="Calibri" w:eastAsia="Times New Roman" w:hAnsi="Calibri" w:cs="Calibri"/>
          <w:u w:val="single"/>
        </w:rPr>
        <w:t>Phase Three:</w:t>
      </w:r>
      <w:r w:rsidRPr="00C24AFB">
        <w:rPr>
          <w:rFonts w:ascii="Calibri" w:eastAsia="Times New Roman" w:hAnsi="Calibri" w:cs="Calibri"/>
        </w:rPr>
        <w:t>  GFEs must be provided to patients who plan to bill their insurance. </w:t>
      </w:r>
    </w:p>
    <w:p w14:paraId="38B997D6" w14:textId="77777777" w:rsidR="00C24AFB" w:rsidRPr="00C24AFB" w:rsidRDefault="00C24AFB" w:rsidP="00C24AFB">
      <w:pPr>
        <w:numPr>
          <w:ilvl w:val="0"/>
          <w:numId w:val="2"/>
        </w:numPr>
        <w:spacing w:after="0" w:line="231" w:lineRule="atLeast"/>
        <w:rPr>
          <w:rFonts w:ascii="Calibri" w:eastAsia="Times New Roman" w:hAnsi="Calibri" w:cs="Calibri"/>
        </w:rPr>
      </w:pPr>
      <w:r w:rsidRPr="00C24AFB">
        <w:rPr>
          <w:rFonts w:ascii="Calibri" w:eastAsia="Times New Roman" w:hAnsi="Calibri" w:cs="Calibri"/>
        </w:rPr>
        <w:t>As summarized in the chart below, Phase One has been in effect since this past January.  (Note that I’ve yet to hear any examples of CMS or a state proactively enforcing these rules, at a CHC or any other provider.)</w:t>
      </w:r>
    </w:p>
    <w:p w14:paraId="4302BA4B" w14:textId="77777777" w:rsidR="00C24AFB" w:rsidRPr="00C24AFB" w:rsidRDefault="00C24AFB" w:rsidP="00C24AFB">
      <w:pPr>
        <w:numPr>
          <w:ilvl w:val="0"/>
          <w:numId w:val="2"/>
        </w:numPr>
        <w:spacing w:after="0" w:line="231" w:lineRule="atLeast"/>
        <w:rPr>
          <w:rFonts w:ascii="Calibri" w:eastAsia="Times New Roman" w:hAnsi="Calibri" w:cs="Calibri"/>
        </w:rPr>
      </w:pPr>
      <w:r w:rsidRPr="00C24AFB">
        <w:rPr>
          <w:rFonts w:ascii="Calibri" w:eastAsia="Times New Roman" w:hAnsi="Calibri" w:cs="Calibri"/>
        </w:rPr>
        <w:t>CMS had previously indicated that it would begin enforcing Phase Two (including costs for non-CHC providers in the GFEs for uninsured &amp; self-pay patients) starting next month.  However, in a document released on December 2, </w:t>
      </w:r>
      <w:hyperlink r:id="rId6" w:tgtFrame="_blank" w:history="1">
        <w:r w:rsidRPr="00C24AFB">
          <w:rPr>
            <w:rFonts w:ascii="Calibri" w:eastAsia="Times New Roman" w:hAnsi="Calibri" w:cs="Calibri"/>
            <w:b/>
            <w:bCs/>
            <w:color w:val="0563C1"/>
            <w:u w:val="single"/>
            <w:bdr w:val="none" w:sz="0" w:space="0" w:color="auto" w:frame="1"/>
          </w:rPr>
          <w:t>CMS stated that it would delay enforcing the Phase Two requirements until it finalizes a regulation implementing those requirements</w:t>
        </w:r>
      </w:hyperlink>
      <w:r w:rsidRPr="00C24AFB">
        <w:rPr>
          <w:rFonts w:ascii="Calibri" w:eastAsia="Times New Roman" w:hAnsi="Calibri" w:cs="Calibri"/>
        </w:rPr>
        <w:t>.  Also, CMS:</w:t>
      </w:r>
    </w:p>
    <w:p w14:paraId="5AB1A902" w14:textId="77777777" w:rsidR="00C24AFB" w:rsidRPr="00C24AFB" w:rsidRDefault="00C24AFB" w:rsidP="00C24AFB">
      <w:pPr>
        <w:numPr>
          <w:ilvl w:val="1"/>
          <w:numId w:val="2"/>
        </w:numPr>
        <w:spacing w:after="0" w:line="231" w:lineRule="atLeast"/>
        <w:rPr>
          <w:rFonts w:ascii="Calibri" w:eastAsia="Times New Roman" w:hAnsi="Calibri" w:cs="Calibri"/>
        </w:rPr>
      </w:pPr>
      <w:r w:rsidRPr="00C24AFB">
        <w:rPr>
          <w:rFonts w:ascii="Calibri" w:eastAsia="Times New Roman" w:hAnsi="Calibri" w:cs="Calibri"/>
        </w:rPr>
        <w:t>will not even propose a regulation until the agency “has established a standard technology or transaction to automate the creation of comprehensive GFEs”</w:t>
      </w:r>
    </w:p>
    <w:p w14:paraId="6CADA2CA" w14:textId="77777777" w:rsidR="00C24AFB" w:rsidRPr="00C24AFB" w:rsidRDefault="00C24AFB" w:rsidP="00C24AFB">
      <w:pPr>
        <w:numPr>
          <w:ilvl w:val="1"/>
          <w:numId w:val="2"/>
        </w:numPr>
        <w:spacing w:after="0" w:line="231" w:lineRule="atLeast"/>
        <w:rPr>
          <w:rFonts w:ascii="Calibri" w:eastAsia="Times New Roman" w:hAnsi="Calibri" w:cs="Calibri"/>
        </w:rPr>
      </w:pPr>
      <w:r w:rsidRPr="00C24AFB">
        <w:rPr>
          <w:rFonts w:ascii="Calibri" w:eastAsia="Times New Roman" w:hAnsi="Calibri" w:cs="Calibri"/>
        </w:rPr>
        <w:t>is committing to giving providers “significant advanced notice” before it will begin enforcing these requirements. </w:t>
      </w:r>
    </w:p>
    <w:p w14:paraId="5C4B2341" w14:textId="77777777" w:rsidR="00C24AFB" w:rsidRPr="00C24AFB" w:rsidRDefault="00C24AFB" w:rsidP="00C24AFB">
      <w:pPr>
        <w:spacing w:after="0" w:line="231" w:lineRule="atLeast"/>
        <w:ind w:left="720"/>
        <w:rPr>
          <w:rFonts w:ascii="Calibri" w:eastAsia="Times New Roman" w:hAnsi="Calibri" w:cs="Calibri"/>
        </w:rPr>
      </w:pPr>
      <w:r w:rsidRPr="00C24AFB">
        <w:rPr>
          <w:rFonts w:ascii="Calibri" w:eastAsia="Times New Roman" w:hAnsi="Calibri" w:cs="Calibri"/>
          <w:b/>
          <w:bCs/>
          <w:bdr w:val="none" w:sz="0" w:space="0" w:color="auto" w:frame="1"/>
          <w:shd w:val="clear" w:color="auto" w:fill="FFFF00"/>
        </w:rPr>
        <w:t>As these processes will likely take years, CHCs can safely assume that they will not be required to adhere to Phase Two requirements for the foreseeable future.</w:t>
      </w:r>
      <w:r w:rsidRPr="00C24AFB">
        <w:rPr>
          <w:rFonts w:ascii="inherit" w:eastAsia="Times New Roman" w:hAnsi="inherit" w:cs="Calibri"/>
          <w:b/>
          <w:bCs/>
          <w:sz w:val="20"/>
          <w:szCs w:val="20"/>
          <w:bdr w:val="none" w:sz="0" w:space="0" w:color="auto" w:frame="1"/>
        </w:rPr>
        <w:t> </w:t>
      </w:r>
    </w:p>
    <w:p w14:paraId="499468D4" w14:textId="77777777" w:rsidR="00C24AFB" w:rsidRPr="00C24AFB" w:rsidRDefault="00C24AFB" w:rsidP="00C24AFB">
      <w:pPr>
        <w:numPr>
          <w:ilvl w:val="0"/>
          <w:numId w:val="3"/>
        </w:numPr>
        <w:spacing w:after="0" w:line="231" w:lineRule="atLeast"/>
        <w:rPr>
          <w:rFonts w:ascii="Calibri" w:eastAsia="Times New Roman" w:hAnsi="Calibri" w:cs="Calibri"/>
        </w:rPr>
      </w:pPr>
      <w:r w:rsidRPr="00C24AFB">
        <w:rPr>
          <w:rFonts w:ascii="Calibri" w:eastAsia="Times New Roman" w:hAnsi="Calibri" w:cs="Calibri"/>
        </w:rPr>
        <w:t>Phase Three requirements – providing GFEs to insured patients – are also on hold indefinitely, pending the development of IT systems to automate the process. </w:t>
      </w:r>
    </w:p>
    <w:p w14:paraId="5D865C4A"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lastRenderedPageBreak/>
        <w:t xml:space="preserve">The attached chart summarizes these </w:t>
      </w:r>
      <w:proofErr w:type="gramStart"/>
      <w:r w:rsidRPr="00C24AFB">
        <w:rPr>
          <w:rFonts w:ascii="Calibri" w:eastAsia="Times New Roman" w:hAnsi="Calibri" w:cs="Calibri"/>
        </w:rPr>
        <w:t>phases, and</w:t>
      </w:r>
      <w:proofErr w:type="gramEnd"/>
      <w:r w:rsidRPr="00C24AFB">
        <w:rPr>
          <w:rFonts w:ascii="Calibri" w:eastAsia="Times New Roman" w:hAnsi="Calibri" w:cs="Calibri"/>
        </w:rPr>
        <w:t xml:space="preserve"> updates the enforcement information to reflect last Friday’s announcement.  I will also be updating the [shorturl.at/</w:t>
      </w:r>
      <w:proofErr w:type="spellStart"/>
      <w:proofErr w:type="gramStart"/>
      <w:r w:rsidRPr="00C24AFB">
        <w:rPr>
          <w:rFonts w:ascii="Calibri" w:eastAsia="Times New Roman" w:hAnsi="Calibri" w:cs="Calibri"/>
        </w:rPr>
        <w:t>dzKLW</w:t>
      </w:r>
      <w:proofErr w:type="spellEnd"/>
      <w:r w:rsidRPr="00C24AFB">
        <w:rPr>
          <w:rFonts w:ascii="Calibri" w:eastAsia="Times New Roman" w:hAnsi="Calibri" w:cs="Calibri"/>
        </w:rPr>
        <w:t>]</w:t>
      </w:r>
      <w:r w:rsidRPr="00C24AFB">
        <w:rPr>
          <w:rFonts w:ascii="Calibri" w:eastAsia="Times New Roman" w:hAnsi="Calibri" w:cs="Calibri"/>
          <w:color w:val="0563C1"/>
          <w:bdr w:val="none" w:sz="0" w:space="0" w:color="auto" w:frame="1"/>
        </w:rPr>
        <w:t>CHC</w:t>
      </w:r>
      <w:proofErr w:type="gramEnd"/>
      <w:r w:rsidRPr="00C24AFB">
        <w:rPr>
          <w:rFonts w:ascii="Calibri" w:eastAsia="Times New Roman" w:hAnsi="Calibri" w:cs="Calibri"/>
          <w:color w:val="0563C1"/>
          <w:bdr w:val="none" w:sz="0" w:space="0" w:color="auto" w:frame="1"/>
        </w:rPr>
        <w:t xml:space="preserve"> Toolkit on Good Faith Estimates</w:t>
      </w:r>
      <w:r w:rsidRPr="00C24AFB">
        <w:rPr>
          <w:rFonts w:ascii="Calibri" w:eastAsia="Times New Roman" w:hAnsi="Calibri" w:cs="Calibri"/>
        </w:rPr>
        <w:t>. </w:t>
      </w:r>
    </w:p>
    <w:p w14:paraId="068F6378"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w:t>
      </w:r>
    </w:p>
    <w:p w14:paraId="45E7AB3D"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Please let me know if you have any questions.</w:t>
      </w:r>
    </w:p>
    <w:p w14:paraId="63A12949"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w:t>
      </w:r>
    </w:p>
    <w:p w14:paraId="38B9C577"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Colleen</w:t>
      </w:r>
    </w:p>
    <w:p w14:paraId="49D927F1"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w:t>
      </w:r>
    </w:p>
    <w:p w14:paraId="2ADE2DDB"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i/>
          <w:iCs/>
        </w:rPr>
        <w:t>*Remember that the GFE rules define a “self-pay” patient differently from Section 330 rules.  Under the GFE rules, a "self-pay" patient is someone who has insurance but chooses not to submit a claim for the service.  Persons who pay the full cost themselves, but also submit a claim for the service to count against their deductible, are not considered "self-pay" for GFE purposes.</w:t>
      </w:r>
    </w:p>
    <w:p w14:paraId="2891F437"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w:t>
      </w:r>
    </w:p>
    <w:tbl>
      <w:tblPr>
        <w:tblW w:w="13496" w:type="dxa"/>
        <w:tblCellMar>
          <w:left w:w="0" w:type="dxa"/>
          <w:right w:w="0" w:type="dxa"/>
        </w:tblCellMar>
        <w:tblLook w:val="04A0" w:firstRow="1" w:lastRow="0" w:firstColumn="1" w:lastColumn="0" w:noHBand="0" w:noVBand="1"/>
      </w:tblPr>
      <w:tblGrid>
        <w:gridCol w:w="1404"/>
        <w:gridCol w:w="1973"/>
        <w:gridCol w:w="3704"/>
        <w:gridCol w:w="2135"/>
        <w:gridCol w:w="4052"/>
        <w:gridCol w:w="222"/>
        <w:gridCol w:w="6"/>
      </w:tblGrid>
      <w:tr w:rsidR="00C24AFB" w:rsidRPr="00C24AFB" w14:paraId="7842F3F0" w14:textId="77777777" w:rsidTr="00C24AFB">
        <w:trPr>
          <w:trHeight w:val="420"/>
        </w:trPr>
        <w:tc>
          <w:tcPr>
            <w:tcW w:w="9340" w:type="dxa"/>
            <w:gridSpan w:val="4"/>
            <w:tcMar>
              <w:top w:w="0" w:type="dxa"/>
              <w:left w:w="108" w:type="dxa"/>
              <w:bottom w:w="0" w:type="dxa"/>
              <w:right w:w="108" w:type="dxa"/>
            </w:tcMar>
            <w:vAlign w:val="bottom"/>
            <w:hideMark/>
          </w:tcPr>
          <w:p w14:paraId="0252AAAA"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b/>
                <w:bCs/>
                <w:color w:val="000000"/>
                <w:sz w:val="32"/>
                <w:szCs w:val="32"/>
                <w:bdr w:val="none" w:sz="0" w:space="0" w:color="auto" w:frame="1"/>
              </w:rPr>
              <w:t>CMS Enforcement of Good Faith Estimates Requirements</w:t>
            </w:r>
          </w:p>
        </w:tc>
        <w:tc>
          <w:tcPr>
            <w:tcW w:w="4120" w:type="dxa"/>
            <w:tcMar>
              <w:top w:w="0" w:type="dxa"/>
              <w:left w:w="108" w:type="dxa"/>
              <w:bottom w:w="0" w:type="dxa"/>
              <w:right w:w="108" w:type="dxa"/>
            </w:tcMar>
            <w:vAlign w:val="bottom"/>
            <w:hideMark/>
          </w:tcPr>
          <w:p w14:paraId="3869F694" w14:textId="77777777" w:rsidR="00C24AFB" w:rsidRPr="00C24AFB" w:rsidRDefault="00C24AFB" w:rsidP="00C24AFB">
            <w:pPr>
              <w:spacing w:after="0" w:line="240" w:lineRule="auto"/>
              <w:rPr>
                <w:rFonts w:ascii="Calibri" w:eastAsia="Times New Roman" w:hAnsi="Calibri" w:cs="Calibri"/>
              </w:rPr>
            </w:pPr>
          </w:p>
        </w:tc>
        <w:tc>
          <w:tcPr>
            <w:tcW w:w="30" w:type="dxa"/>
            <w:vAlign w:val="center"/>
            <w:hideMark/>
          </w:tcPr>
          <w:p w14:paraId="542555CC"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w:t>
            </w:r>
          </w:p>
        </w:tc>
        <w:tc>
          <w:tcPr>
            <w:tcW w:w="6" w:type="dxa"/>
            <w:vAlign w:val="center"/>
            <w:hideMark/>
          </w:tcPr>
          <w:p w14:paraId="37594F46" w14:textId="77777777" w:rsidR="00C24AFB" w:rsidRPr="00C24AFB" w:rsidRDefault="00C24AFB" w:rsidP="00C24AFB">
            <w:pPr>
              <w:spacing w:after="0" w:line="240" w:lineRule="auto"/>
              <w:rPr>
                <w:rFonts w:ascii="Calibri" w:eastAsia="Times New Roman" w:hAnsi="Calibri" w:cs="Calibri"/>
              </w:rPr>
            </w:pPr>
          </w:p>
        </w:tc>
      </w:tr>
      <w:tr w:rsidR="00C24AFB" w:rsidRPr="00C24AFB" w14:paraId="25254EBF" w14:textId="77777777" w:rsidTr="00C24AFB">
        <w:trPr>
          <w:trHeight w:val="330"/>
        </w:trPr>
        <w:tc>
          <w:tcPr>
            <w:tcW w:w="3420" w:type="dxa"/>
            <w:gridSpan w:val="2"/>
            <w:shd w:val="clear" w:color="auto" w:fill="FFFF00"/>
            <w:tcMar>
              <w:top w:w="0" w:type="dxa"/>
              <w:left w:w="108" w:type="dxa"/>
              <w:bottom w:w="0" w:type="dxa"/>
              <w:right w:w="108" w:type="dxa"/>
            </w:tcMar>
            <w:vAlign w:val="bottom"/>
            <w:hideMark/>
          </w:tcPr>
          <w:p w14:paraId="3B953147"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i/>
                <w:iCs/>
                <w:color w:val="000000"/>
                <w:sz w:val="24"/>
                <w:szCs w:val="24"/>
                <w:bdr w:val="none" w:sz="0" w:space="0" w:color="auto" w:frame="1"/>
              </w:rPr>
              <w:t>Updated 12/5/22</w:t>
            </w:r>
          </w:p>
        </w:tc>
        <w:tc>
          <w:tcPr>
            <w:tcW w:w="3780" w:type="dxa"/>
            <w:tcMar>
              <w:top w:w="0" w:type="dxa"/>
              <w:left w:w="108" w:type="dxa"/>
              <w:bottom w:w="0" w:type="dxa"/>
              <w:right w:w="108" w:type="dxa"/>
            </w:tcMar>
            <w:vAlign w:val="bottom"/>
            <w:hideMark/>
          </w:tcPr>
          <w:p w14:paraId="65904AA1" w14:textId="77777777" w:rsidR="00C24AFB" w:rsidRPr="00C24AFB" w:rsidRDefault="00C24AFB" w:rsidP="00C24AFB">
            <w:pPr>
              <w:spacing w:after="0" w:line="240" w:lineRule="auto"/>
              <w:rPr>
                <w:rFonts w:ascii="Calibri" w:eastAsia="Times New Roman" w:hAnsi="Calibri" w:cs="Calibri"/>
              </w:rPr>
            </w:pPr>
          </w:p>
        </w:tc>
        <w:tc>
          <w:tcPr>
            <w:tcW w:w="2140" w:type="dxa"/>
            <w:tcMar>
              <w:top w:w="0" w:type="dxa"/>
              <w:left w:w="108" w:type="dxa"/>
              <w:bottom w:w="0" w:type="dxa"/>
              <w:right w:w="108" w:type="dxa"/>
            </w:tcMar>
            <w:vAlign w:val="center"/>
            <w:hideMark/>
          </w:tcPr>
          <w:p w14:paraId="6B8BFA85"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4120" w:type="dxa"/>
            <w:tcMar>
              <w:top w:w="0" w:type="dxa"/>
              <w:left w:w="108" w:type="dxa"/>
              <w:bottom w:w="0" w:type="dxa"/>
              <w:right w:w="108" w:type="dxa"/>
            </w:tcMar>
            <w:vAlign w:val="bottom"/>
            <w:hideMark/>
          </w:tcPr>
          <w:p w14:paraId="7416C011"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30" w:type="dxa"/>
            <w:vAlign w:val="center"/>
            <w:hideMark/>
          </w:tcPr>
          <w:p w14:paraId="27D340D7"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w:t>
            </w:r>
          </w:p>
        </w:tc>
        <w:tc>
          <w:tcPr>
            <w:tcW w:w="6" w:type="dxa"/>
            <w:vAlign w:val="center"/>
            <w:hideMark/>
          </w:tcPr>
          <w:p w14:paraId="6E6B4AE6" w14:textId="77777777" w:rsidR="00C24AFB" w:rsidRPr="00C24AFB" w:rsidRDefault="00C24AFB" w:rsidP="00C24AFB">
            <w:pPr>
              <w:spacing w:after="0" w:line="240" w:lineRule="auto"/>
              <w:rPr>
                <w:rFonts w:ascii="Calibri" w:eastAsia="Times New Roman" w:hAnsi="Calibri" w:cs="Calibri"/>
              </w:rPr>
            </w:pPr>
          </w:p>
        </w:tc>
      </w:tr>
      <w:tr w:rsidR="00C24AFB" w:rsidRPr="00C24AFB" w14:paraId="6974DB7E" w14:textId="77777777" w:rsidTr="00C24AFB">
        <w:trPr>
          <w:trHeight w:val="330"/>
        </w:trPr>
        <w:tc>
          <w:tcPr>
            <w:tcW w:w="1420" w:type="dxa"/>
            <w:vMerge w:val="restart"/>
            <w:tcBorders>
              <w:top w:val="double" w:sz="6" w:space="0" w:color="000000"/>
              <w:left w:val="double" w:sz="6" w:space="0" w:color="000000"/>
              <w:bottom w:val="double" w:sz="6" w:space="0" w:color="000000"/>
              <w:right w:val="single" w:sz="8" w:space="0" w:color="000000"/>
            </w:tcBorders>
            <w:tcMar>
              <w:top w:w="0" w:type="dxa"/>
              <w:left w:w="108" w:type="dxa"/>
              <w:bottom w:w="0" w:type="dxa"/>
              <w:right w:w="108" w:type="dxa"/>
            </w:tcMar>
            <w:hideMark/>
          </w:tcPr>
          <w:p w14:paraId="234AAC29" w14:textId="77777777" w:rsidR="00C24AFB" w:rsidRPr="00C24AFB" w:rsidRDefault="00C24AFB" w:rsidP="00C24AFB">
            <w:pPr>
              <w:spacing w:after="0" w:line="240" w:lineRule="auto"/>
              <w:jc w:val="center"/>
              <w:rPr>
                <w:rFonts w:ascii="Calibri" w:eastAsia="Times New Roman" w:hAnsi="Calibri" w:cs="Calibri"/>
              </w:rPr>
            </w:pPr>
            <w:r w:rsidRPr="00C24AFB">
              <w:rPr>
                <w:rFonts w:ascii="Arial" w:eastAsia="Times New Roman" w:hAnsi="Arial" w:cs="Arial"/>
                <w:sz w:val="24"/>
                <w:szCs w:val="24"/>
                <w:bdr w:val="none" w:sz="0" w:space="0" w:color="auto" w:frame="1"/>
              </w:rPr>
              <w:t> </w:t>
            </w:r>
          </w:p>
        </w:tc>
        <w:tc>
          <w:tcPr>
            <w:tcW w:w="2000" w:type="dxa"/>
            <w:vMerge w:val="restart"/>
            <w:tcBorders>
              <w:top w:val="double" w:sz="6" w:space="0" w:color="000000"/>
              <w:left w:val="nil"/>
              <w:bottom w:val="double" w:sz="6" w:space="0" w:color="000000"/>
              <w:right w:val="single" w:sz="8" w:space="0" w:color="000000"/>
            </w:tcBorders>
            <w:tcMar>
              <w:top w:w="0" w:type="dxa"/>
              <w:left w:w="108" w:type="dxa"/>
              <w:bottom w:w="0" w:type="dxa"/>
              <w:right w:w="108" w:type="dxa"/>
            </w:tcMar>
            <w:vAlign w:val="center"/>
            <w:hideMark/>
          </w:tcPr>
          <w:p w14:paraId="02BB7245" w14:textId="77777777" w:rsidR="00C24AFB" w:rsidRPr="00C24AFB" w:rsidRDefault="00C24AFB" w:rsidP="00C24AFB">
            <w:pPr>
              <w:spacing w:after="0" w:line="240" w:lineRule="auto"/>
              <w:jc w:val="center"/>
              <w:rPr>
                <w:rFonts w:ascii="Calibri" w:eastAsia="Times New Roman" w:hAnsi="Calibri" w:cs="Calibri"/>
              </w:rPr>
            </w:pPr>
            <w:r w:rsidRPr="00C24AFB">
              <w:rPr>
                <w:rFonts w:ascii="inherit" w:eastAsia="Times New Roman" w:hAnsi="inherit" w:cs="Calibri"/>
                <w:b/>
                <w:bCs/>
                <w:color w:val="000000"/>
                <w:sz w:val="24"/>
                <w:szCs w:val="24"/>
                <w:bdr w:val="none" w:sz="0" w:space="0" w:color="auto" w:frame="1"/>
              </w:rPr>
              <w:t>GFEs for:</w:t>
            </w:r>
          </w:p>
        </w:tc>
        <w:tc>
          <w:tcPr>
            <w:tcW w:w="3780" w:type="dxa"/>
            <w:vMerge w:val="restart"/>
            <w:tcBorders>
              <w:top w:val="double" w:sz="6" w:space="0" w:color="000000"/>
              <w:left w:val="nil"/>
              <w:bottom w:val="double" w:sz="6" w:space="0" w:color="000000"/>
              <w:right w:val="single" w:sz="8" w:space="0" w:color="000000"/>
            </w:tcBorders>
            <w:tcMar>
              <w:top w:w="0" w:type="dxa"/>
              <w:left w:w="108" w:type="dxa"/>
              <w:bottom w:w="0" w:type="dxa"/>
              <w:right w:w="108" w:type="dxa"/>
            </w:tcMar>
            <w:vAlign w:val="center"/>
            <w:hideMark/>
          </w:tcPr>
          <w:p w14:paraId="6C1B7E95" w14:textId="77777777" w:rsidR="00C24AFB" w:rsidRPr="00C24AFB" w:rsidRDefault="00C24AFB" w:rsidP="00C24AFB">
            <w:pPr>
              <w:spacing w:after="0" w:line="240" w:lineRule="auto"/>
              <w:jc w:val="center"/>
              <w:rPr>
                <w:rFonts w:ascii="Calibri" w:eastAsia="Times New Roman" w:hAnsi="Calibri" w:cs="Calibri"/>
              </w:rPr>
            </w:pPr>
            <w:r w:rsidRPr="00C24AFB">
              <w:rPr>
                <w:rFonts w:ascii="inherit" w:eastAsia="Times New Roman" w:hAnsi="inherit" w:cs="Calibri"/>
                <w:b/>
                <w:bCs/>
                <w:color w:val="000000"/>
                <w:sz w:val="24"/>
                <w:szCs w:val="24"/>
                <w:bdr w:val="none" w:sz="0" w:space="0" w:color="auto" w:frame="1"/>
              </w:rPr>
              <w:t>Requirements on Providers</w:t>
            </w:r>
          </w:p>
        </w:tc>
        <w:tc>
          <w:tcPr>
            <w:tcW w:w="2140" w:type="dxa"/>
            <w:vMerge w:val="restart"/>
            <w:tcBorders>
              <w:top w:val="double" w:sz="6" w:space="0" w:color="000000"/>
              <w:left w:val="nil"/>
              <w:bottom w:val="double" w:sz="6" w:space="0" w:color="000000"/>
              <w:right w:val="single" w:sz="8" w:space="0" w:color="000000"/>
            </w:tcBorders>
            <w:tcMar>
              <w:top w:w="0" w:type="dxa"/>
              <w:left w:w="108" w:type="dxa"/>
              <w:bottom w:w="0" w:type="dxa"/>
              <w:right w:w="108" w:type="dxa"/>
            </w:tcMar>
            <w:vAlign w:val="center"/>
            <w:hideMark/>
          </w:tcPr>
          <w:p w14:paraId="75D3F8D6" w14:textId="77777777" w:rsidR="00C24AFB" w:rsidRPr="00C24AFB" w:rsidRDefault="00C24AFB" w:rsidP="00C24AFB">
            <w:pPr>
              <w:spacing w:after="0" w:line="240" w:lineRule="auto"/>
              <w:jc w:val="center"/>
              <w:rPr>
                <w:rFonts w:ascii="Calibri" w:eastAsia="Times New Roman" w:hAnsi="Calibri" w:cs="Calibri"/>
              </w:rPr>
            </w:pPr>
            <w:r w:rsidRPr="00C24AFB">
              <w:rPr>
                <w:rFonts w:ascii="inherit" w:eastAsia="Times New Roman" w:hAnsi="inherit" w:cs="Calibri"/>
                <w:b/>
                <w:bCs/>
                <w:color w:val="000000"/>
                <w:sz w:val="24"/>
                <w:szCs w:val="24"/>
                <w:u w:val="single"/>
                <w:bdr w:val="none" w:sz="0" w:space="0" w:color="auto" w:frame="1"/>
              </w:rPr>
              <w:t>Official </w:t>
            </w:r>
            <w:r w:rsidRPr="00C24AFB">
              <w:rPr>
                <w:rFonts w:ascii="inherit" w:eastAsia="Times New Roman" w:hAnsi="inherit" w:cs="Calibri"/>
                <w:b/>
                <w:bCs/>
                <w:color w:val="000000"/>
                <w:sz w:val="24"/>
                <w:szCs w:val="24"/>
                <w:bdr w:val="none" w:sz="0" w:space="0" w:color="auto" w:frame="1"/>
              </w:rPr>
              <w:t>Effective Date</w:t>
            </w:r>
          </w:p>
        </w:tc>
        <w:tc>
          <w:tcPr>
            <w:tcW w:w="4120" w:type="dxa"/>
            <w:vMerge w:val="restart"/>
            <w:tcBorders>
              <w:top w:val="double" w:sz="6" w:space="0" w:color="000000"/>
              <w:left w:val="nil"/>
              <w:bottom w:val="double" w:sz="6" w:space="0" w:color="000000"/>
              <w:right w:val="double" w:sz="6" w:space="0" w:color="000000"/>
            </w:tcBorders>
            <w:tcMar>
              <w:top w:w="0" w:type="dxa"/>
              <w:left w:w="108" w:type="dxa"/>
              <w:bottom w:w="0" w:type="dxa"/>
              <w:right w:w="108" w:type="dxa"/>
            </w:tcMar>
            <w:vAlign w:val="center"/>
            <w:hideMark/>
          </w:tcPr>
          <w:p w14:paraId="5FFE3170" w14:textId="77777777" w:rsidR="00C24AFB" w:rsidRPr="00C24AFB" w:rsidRDefault="00C24AFB" w:rsidP="00C24AFB">
            <w:pPr>
              <w:spacing w:after="0" w:line="240" w:lineRule="auto"/>
              <w:jc w:val="center"/>
              <w:rPr>
                <w:rFonts w:ascii="Calibri" w:eastAsia="Times New Roman" w:hAnsi="Calibri" w:cs="Calibri"/>
              </w:rPr>
            </w:pPr>
            <w:r w:rsidRPr="00C24AFB">
              <w:rPr>
                <w:rFonts w:ascii="inherit" w:eastAsia="Times New Roman" w:hAnsi="inherit" w:cs="Calibri"/>
                <w:b/>
                <w:bCs/>
                <w:color w:val="000000"/>
                <w:sz w:val="24"/>
                <w:szCs w:val="24"/>
                <w:bdr w:val="none" w:sz="0" w:space="0" w:color="auto" w:frame="1"/>
              </w:rPr>
              <w:t>CMS will start enforcing</w:t>
            </w:r>
          </w:p>
        </w:tc>
        <w:tc>
          <w:tcPr>
            <w:tcW w:w="30" w:type="dxa"/>
            <w:vAlign w:val="center"/>
            <w:hideMark/>
          </w:tcPr>
          <w:p w14:paraId="35BB6DBB" w14:textId="77777777" w:rsidR="00C24AFB" w:rsidRPr="00C24AFB" w:rsidRDefault="00C24AFB" w:rsidP="00C24AFB">
            <w:pPr>
              <w:spacing w:after="0" w:line="240" w:lineRule="auto"/>
              <w:rPr>
                <w:rFonts w:ascii="Calibri" w:eastAsia="Times New Roman" w:hAnsi="Calibri" w:cs="Calibri"/>
              </w:rPr>
            </w:pPr>
            <w:r w:rsidRPr="00C24AFB">
              <w:rPr>
                <w:rFonts w:ascii="Calibri" w:eastAsia="Times New Roman" w:hAnsi="Calibri" w:cs="Calibri"/>
              </w:rPr>
              <w:t> </w:t>
            </w:r>
          </w:p>
        </w:tc>
        <w:tc>
          <w:tcPr>
            <w:tcW w:w="6" w:type="dxa"/>
            <w:vAlign w:val="center"/>
            <w:hideMark/>
          </w:tcPr>
          <w:p w14:paraId="726D62D1" w14:textId="77777777" w:rsidR="00C24AFB" w:rsidRPr="00C24AFB" w:rsidRDefault="00C24AFB" w:rsidP="00C24AFB">
            <w:pPr>
              <w:spacing w:after="0" w:line="240" w:lineRule="auto"/>
              <w:rPr>
                <w:rFonts w:ascii="Calibri" w:eastAsia="Times New Roman" w:hAnsi="Calibri" w:cs="Calibri"/>
              </w:rPr>
            </w:pPr>
          </w:p>
        </w:tc>
      </w:tr>
      <w:tr w:rsidR="00C24AFB" w:rsidRPr="00C24AFB" w14:paraId="2F66E335" w14:textId="77777777" w:rsidTr="00C24AFB">
        <w:trPr>
          <w:trHeight w:val="330"/>
        </w:trPr>
        <w:tc>
          <w:tcPr>
            <w:tcW w:w="0" w:type="auto"/>
            <w:vMerge/>
            <w:tcBorders>
              <w:top w:val="double" w:sz="6" w:space="0" w:color="000000"/>
              <w:left w:val="double" w:sz="6" w:space="0" w:color="000000"/>
              <w:bottom w:val="double" w:sz="6" w:space="0" w:color="000000"/>
              <w:right w:val="single" w:sz="8" w:space="0" w:color="000000"/>
            </w:tcBorders>
            <w:vAlign w:val="center"/>
            <w:hideMark/>
          </w:tcPr>
          <w:p w14:paraId="43155C72" w14:textId="77777777" w:rsidR="00C24AFB" w:rsidRPr="00C24AFB" w:rsidRDefault="00C24AFB" w:rsidP="00C24AFB">
            <w:pPr>
              <w:spacing w:after="0" w:line="240" w:lineRule="auto"/>
              <w:rPr>
                <w:rFonts w:ascii="Calibri" w:eastAsia="Times New Roman" w:hAnsi="Calibri" w:cs="Calibri"/>
              </w:rPr>
            </w:pPr>
          </w:p>
        </w:tc>
        <w:tc>
          <w:tcPr>
            <w:tcW w:w="0" w:type="auto"/>
            <w:vMerge/>
            <w:tcBorders>
              <w:top w:val="double" w:sz="6" w:space="0" w:color="000000"/>
              <w:left w:val="nil"/>
              <w:bottom w:val="double" w:sz="6" w:space="0" w:color="000000"/>
              <w:right w:val="single" w:sz="8" w:space="0" w:color="000000"/>
            </w:tcBorders>
            <w:vAlign w:val="center"/>
            <w:hideMark/>
          </w:tcPr>
          <w:p w14:paraId="25885BEE" w14:textId="77777777" w:rsidR="00C24AFB" w:rsidRPr="00C24AFB" w:rsidRDefault="00C24AFB" w:rsidP="00C24AFB">
            <w:pPr>
              <w:spacing w:after="0" w:line="240" w:lineRule="auto"/>
              <w:rPr>
                <w:rFonts w:ascii="Calibri" w:eastAsia="Times New Roman" w:hAnsi="Calibri" w:cs="Calibri"/>
              </w:rPr>
            </w:pPr>
          </w:p>
        </w:tc>
        <w:tc>
          <w:tcPr>
            <w:tcW w:w="0" w:type="auto"/>
            <w:vMerge/>
            <w:tcBorders>
              <w:top w:val="double" w:sz="6" w:space="0" w:color="000000"/>
              <w:left w:val="nil"/>
              <w:bottom w:val="double" w:sz="6" w:space="0" w:color="000000"/>
              <w:right w:val="single" w:sz="8" w:space="0" w:color="000000"/>
            </w:tcBorders>
            <w:vAlign w:val="center"/>
            <w:hideMark/>
          </w:tcPr>
          <w:p w14:paraId="7B3B7D1E" w14:textId="77777777" w:rsidR="00C24AFB" w:rsidRPr="00C24AFB" w:rsidRDefault="00C24AFB" w:rsidP="00C24AFB">
            <w:pPr>
              <w:spacing w:after="0" w:line="240" w:lineRule="auto"/>
              <w:rPr>
                <w:rFonts w:ascii="Calibri" w:eastAsia="Times New Roman" w:hAnsi="Calibri" w:cs="Calibri"/>
              </w:rPr>
            </w:pPr>
          </w:p>
        </w:tc>
        <w:tc>
          <w:tcPr>
            <w:tcW w:w="0" w:type="auto"/>
            <w:vMerge/>
            <w:tcBorders>
              <w:top w:val="double" w:sz="6" w:space="0" w:color="000000"/>
              <w:left w:val="nil"/>
              <w:bottom w:val="double" w:sz="6" w:space="0" w:color="000000"/>
              <w:right w:val="single" w:sz="8" w:space="0" w:color="000000"/>
            </w:tcBorders>
            <w:vAlign w:val="center"/>
            <w:hideMark/>
          </w:tcPr>
          <w:p w14:paraId="343BE8ED" w14:textId="77777777" w:rsidR="00C24AFB" w:rsidRPr="00C24AFB" w:rsidRDefault="00C24AFB" w:rsidP="00C24AFB">
            <w:pPr>
              <w:spacing w:after="0" w:line="240" w:lineRule="auto"/>
              <w:rPr>
                <w:rFonts w:ascii="Calibri" w:eastAsia="Times New Roman" w:hAnsi="Calibri" w:cs="Calibri"/>
              </w:rPr>
            </w:pPr>
          </w:p>
        </w:tc>
        <w:tc>
          <w:tcPr>
            <w:tcW w:w="0" w:type="auto"/>
            <w:vMerge/>
            <w:tcBorders>
              <w:top w:val="double" w:sz="6" w:space="0" w:color="000000"/>
              <w:left w:val="nil"/>
              <w:bottom w:val="double" w:sz="6" w:space="0" w:color="000000"/>
              <w:right w:val="double" w:sz="6" w:space="0" w:color="000000"/>
            </w:tcBorders>
            <w:vAlign w:val="center"/>
            <w:hideMark/>
          </w:tcPr>
          <w:p w14:paraId="79639DD7" w14:textId="77777777" w:rsidR="00C24AFB" w:rsidRPr="00C24AFB" w:rsidRDefault="00C24AFB" w:rsidP="00C24AFB">
            <w:pPr>
              <w:spacing w:after="0" w:line="240" w:lineRule="auto"/>
              <w:rPr>
                <w:rFonts w:ascii="Calibri" w:eastAsia="Times New Roman" w:hAnsi="Calibri" w:cs="Calibri"/>
              </w:rPr>
            </w:pPr>
          </w:p>
        </w:tc>
        <w:tc>
          <w:tcPr>
            <w:tcW w:w="36" w:type="dxa"/>
            <w:tcMar>
              <w:top w:w="0" w:type="dxa"/>
              <w:left w:w="108" w:type="dxa"/>
              <w:bottom w:w="0" w:type="dxa"/>
              <w:right w:w="108" w:type="dxa"/>
            </w:tcMar>
            <w:vAlign w:val="bottom"/>
            <w:hideMark/>
          </w:tcPr>
          <w:p w14:paraId="7DAB47D3"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6" w:type="dxa"/>
            <w:vAlign w:val="center"/>
            <w:hideMark/>
          </w:tcPr>
          <w:p w14:paraId="2EEF5A45" w14:textId="77777777" w:rsidR="00C24AFB" w:rsidRPr="00C24AFB" w:rsidRDefault="00C24AFB" w:rsidP="00C24AFB">
            <w:pPr>
              <w:spacing w:after="0" w:line="240" w:lineRule="auto"/>
              <w:rPr>
                <w:rFonts w:ascii="Times New Roman" w:eastAsia="Times New Roman" w:hAnsi="Times New Roman" w:cs="Times New Roman"/>
                <w:sz w:val="20"/>
                <w:szCs w:val="20"/>
              </w:rPr>
            </w:pPr>
          </w:p>
        </w:tc>
      </w:tr>
      <w:tr w:rsidR="00C24AFB" w:rsidRPr="00C24AFB" w14:paraId="694ECF85" w14:textId="77777777" w:rsidTr="00C24AFB">
        <w:trPr>
          <w:trHeight w:val="675"/>
        </w:trPr>
        <w:tc>
          <w:tcPr>
            <w:tcW w:w="1420"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14:paraId="19272F70"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b/>
                <w:bCs/>
                <w:color w:val="000000"/>
                <w:sz w:val="24"/>
                <w:szCs w:val="24"/>
                <w:bdr w:val="none" w:sz="0" w:space="0" w:color="auto" w:frame="1"/>
              </w:rPr>
              <w:t>Phase ONE</w:t>
            </w:r>
          </w:p>
        </w:tc>
        <w:tc>
          <w:tcPr>
            <w:tcW w:w="200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53A499"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color w:val="000000"/>
                <w:sz w:val="24"/>
                <w:szCs w:val="24"/>
                <w:bdr w:val="none" w:sz="0" w:space="0" w:color="auto" w:frame="1"/>
              </w:rPr>
              <w:t>Uninsured &amp; “self-pay” patients*</w:t>
            </w:r>
          </w:p>
        </w:tc>
        <w:tc>
          <w:tcPr>
            <w:tcW w:w="37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DE2AF2"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color w:val="000000"/>
                <w:sz w:val="24"/>
                <w:szCs w:val="24"/>
                <w:bdr w:val="none" w:sz="0" w:space="0" w:color="auto" w:frame="1"/>
              </w:rPr>
              <w:t>GFEs must include charge info for services/ items provided by the CHC</w:t>
            </w:r>
          </w:p>
        </w:tc>
        <w:tc>
          <w:tcPr>
            <w:tcW w:w="2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224394" w14:textId="77777777" w:rsidR="00C24AFB" w:rsidRPr="00C24AFB" w:rsidRDefault="00C24AFB" w:rsidP="00C24AFB">
            <w:pPr>
              <w:spacing w:after="0" w:line="240" w:lineRule="auto"/>
              <w:jc w:val="center"/>
              <w:rPr>
                <w:rFonts w:ascii="Calibri" w:eastAsia="Times New Roman" w:hAnsi="Calibri" w:cs="Calibri"/>
              </w:rPr>
            </w:pPr>
            <w:r w:rsidRPr="00C24AFB">
              <w:rPr>
                <w:rFonts w:ascii="inherit" w:eastAsia="Times New Roman" w:hAnsi="inherit" w:cs="Calibri"/>
                <w:color w:val="000000"/>
                <w:sz w:val="24"/>
                <w:szCs w:val="24"/>
                <w:bdr w:val="none" w:sz="0" w:space="0" w:color="auto" w:frame="1"/>
              </w:rPr>
              <w:t>Jan. 1, 202</w:t>
            </w:r>
            <w:r w:rsidRPr="00C24AFB">
              <w:rPr>
                <w:rFonts w:ascii="inherit" w:eastAsia="Times New Roman" w:hAnsi="inherit" w:cs="Calibri"/>
                <w:b/>
                <w:bCs/>
                <w:color w:val="000000"/>
                <w:sz w:val="24"/>
                <w:szCs w:val="24"/>
                <w:bdr w:val="none" w:sz="0" w:space="0" w:color="auto" w:frame="1"/>
              </w:rPr>
              <w:t>2</w:t>
            </w:r>
          </w:p>
        </w:tc>
        <w:tc>
          <w:tcPr>
            <w:tcW w:w="4120" w:type="dxa"/>
            <w:tcBorders>
              <w:top w:val="nil"/>
              <w:left w:val="nil"/>
              <w:bottom w:val="single" w:sz="8" w:space="0" w:color="000000"/>
              <w:right w:val="double" w:sz="6" w:space="0" w:color="000000"/>
            </w:tcBorders>
            <w:tcMar>
              <w:top w:w="0" w:type="dxa"/>
              <w:left w:w="108" w:type="dxa"/>
              <w:bottom w:w="0" w:type="dxa"/>
              <w:right w:w="108" w:type="dxa"/>
            </w:tcMar>
            <w:vAlign w:val="center"/>
            <w:hideMark/>
          </w:tcPr>
          <w:p w14:paraId="1187716A"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color w:val="000000"/>
                <w:sz w:val="24"/>
                <w:szCs w:val="24"/>
                <w:bdr w:val="none" w:sz="0" w:space="0" w:color="auto" w:frame="1"/>
              </w:rPr>
              <w:t>Jan. 1, 202</w:t>
            </w:r>
            <w:r w:rsidRPr="00C24AFB">
              <w:rPr>
                <w:rFonts w:ascii="inherit" w:eastAsia="Times New Roman" w:hAnsi="inherit" w:cs="Calibri"/>
                <w:b/>
                <w:bCs/>
                <w:color w:val="000000"/>
                <w:sz w:val="24"/>
                <w:szCs w:val="24"/>
                <w:bdr w:val="none" w:sz="0" w:space="0" w:color="auto" w:frame="1"/>
              </w:rPr>
              <w:t>2</w:t>
            </w:r>
          </w:p>
        </w:tc>
        <w:tc>
          <w:tcPr>
            <w:tcW w:w="36" w:type="dxa"/>
            <w:tcMar>
              <w:top w:w="0" w:type="dxa"/>
              <w:left w:w="108" w:type="dxa"/>
              <w:bottom w:w="0" w:type="dxa"/>
              <w:right w:w="108" w:type="dxa"/>
            </w:tcMar>
            <w:vAlign w:val="center"/>
            <w:hideMark/>
          </w:tcPr>
          <w:p w14:paraId="1416B186" w14:textId="77777777" w:rsidR="00C24AFB" w:rsidRPr="00C24AFB" w:rsidRDefault="00C24AFB" w:rsidP="00C24AFB">
            <w:pPr>
              <w:spacing w:after="0" w:line="240" w:lineRule="auto"/>
              <w:rPr>
                <w:rFonts w:ascii="Calibri" w:eastAsia="Times New Roman" w:hAnsi="Calibri" w:cs="Calibri"/>
              </w:rPr>
            </w:pPr>
          </w:p>
        </w:tc>
        <w:tc>
          <w:tcPr>
            <w:tcW w:w="6" w:type="dxa"/>
            <w:vAlign w:val="center"/>
            <w:hideMark/>
          </w:tcPr>
          <w:p w14:paraId="45A51621" w14:textId="77777777" w:rsidR="00C24AFB" w:rsidRPr="00C24AFB" w:rsidRDefault="00C24AFB" w:rsidP="00C24AFB">
            <w:pPr>
              <w:spacing w:after="0" w:line="240" w:lineRule="auto"/>
              <w:rPr>
                <w:rFonts w:ascii="Times New Roman" w:eastAsia="Times New Roman" w:hAnsi="Times New Roman" w:cs="Times New Roman"/>
                <w:sz w:val="20"/>
                <w:szCs w:val="20"/>
              </w:rPr>
            </w:pPr>
          </w:p>
        </w:tc>
      </w:tr>
      <w:tr w:rsidR="00C24AFB" w:rsidRPr="00C24AFB" w14:paraId="352ACB63" w14:textId="77777777" w:rsidTr="00C24AFB">
        <w:trPr>
          <w:trHeight w:val="3795"/>
        </w:trPr>
        <w:tc>
          <w:tcPr>
            <w:tcW w:w="1420" w:type="dxa"/>
            <w:tcBorders>
              <w:top w:val="nil"/>
              <w:left w:val="double" w:sz="6" w:space="0" w:color="000000"/>
              <w:bottom w:val="single" w:sz="8" w:space="0" w:color="000000"/>
              <w:right w:val="single" w:sz="8" w:space="0" w:color="000000"/>
            </w:tcBorders>
            <w:tcMar>
              <w:top w:w="0" w:type="dxa"/>
              <w:left w:w="108" w:type="dxa"/>
              <w:bottom w:w="0" w:type="dxa"/>
              <w:right w:w="108" w:type="dxa"/>
            </w:tcMar>
            <w:vAlign w:val="center"/>
            <w:hideMark/>
          </w:tcPr>
          <w:p w14:paraId="0F7C11DD"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b/>
                <w:bCs/>
                <w:color w:val="000000"/>
                <w:sz w:val="24"/>
                <w:szCs w:val="24"/>
                <w:bdr w:val="none" w:sz="0" w:space="0" w:color="auto" w:frame="1"/>
              </w:rPr>
              <w:t>Phase TWO</w:t>
            </w:r>
          </w:p>
        </w:tc>
        <w:tc>
          <w:tcPr>
            <w:tcW w:w="0" w:type="auto"/>
            <w:vMerge/>
            <w:tcBorders>
              <w:top w:val="nil"/>
              <w:left w:val="nil"/>
              <w:bottom w:val="single" w:sz="8" w:space="0" w:color="000000"/>
              <w:right w:val="single" w:sz="8" w:space="0" w:color="000000"/>
            </w:tcBorders>
            <w:vAlign w:val="center"/>
            <w:hideMark/>
          </w:tcPr>
          <w:p w14:paraId="25C5F805" w14:textId="77777777" w:rsidR="00C24AFB" w:rsidRPr="00C24AFB" w:rsidRDefault="00C24AFB" w:rsidP="00C24AFB">
            <w:pPr>
              <w:spacing w:after="0" w:line="240" w:lineRule="auto"/>
              <w:rPr>
                <w:rFonts w:ascii="Calibri" w:eastAsia="Times New Roman" w:hAnsi="Calibri" w:cs="Calibri"/>
              </w:rPr>
            </w:pPr>
          </w:p>
        </w:tc>
        <w:tc>
          <w:tcPr>
            <w:tcW w:w="37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C89C27"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color w:val="000000"/>
                <w:sz w:val="24"/>
                <w:szCs w:val="24"/>
                <w:bdr w:val="none" w:sz="0" w:space="0" w:color="auto" w:frame="1"/>
              </w:rPr>
              <w:t xml:space="preserve">GFEs must also include charge info from outside providers for services/ items that are included in an "episode of care" for which the CHC Is the lead provider.  (For example, if a CHC knows at the time the GFE is prepared that the patient will be referred out </w:t>
            </w:r>
            <w:proofErr w:type="gramStart"/>
            <w:r w:rsidRPr="00C24AFB">
              <w:rPr>
                <w:rFonts w:ascii="inherit" w:eastAsia="Times New Roman" w:hAnsi="inherit" w:cs="Calibri"/>
                <w:color w:val="000000"/>
                <w:sz w:val="24"/>
                <w:szCs w:val="24"/>
                <w:bdr w:val="none" w:sz="0" w:space="0" w:color="auto" w:frame="1"/>
              </w:rPr>
              <w:t>for  lab</w:t>
            </w:r>
            <w:proofErr w:type="gramEnd"/>
            <w:r w:rsidRPr="00C24AFB">
              <w:rPr>
                <w:rFonts w:ascii="inherit" w:eastAsia="Times New Roman" w:hAnsi="inherit" w:cs="Calibri"/>
                <w:color w:val="000000"/>
                <w:sz w:val="24"/>
                <w:szCs w:val="24"/>
                <w:bdr w:val="none" w:sz="0" w:space="0" w:color="auto" w:frame="1"/>
              </w:rPr>
              <w:t xml:space="preserve"> work or prescription -- for the same reason that the patient initially came to the CHC -- those outside costs are to be included in the GFE.)</w:t>
            </w:r>
          </w:p>
        </w:tc>
        <w:tc>
          <w:tcPr>
            <w:tcW w:w="21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1B50D2" w14:textId="77777777" w:rsidR="00C24AFB" w:rsidRPr="00C24AFB" w:rsidRDefault="00C24AFB" w:rsidP="00C24AFB">
            <w:pPr>
              <w:spacing w:after="0" w:line="240" w:lineRule="auto"/>
              <w:jc w:val="center"/>
              <w:rPr>
                <w:rFonts w:ascii="Calibri" w:eastAsia="Times New Roman" w:hAnsi="Calibri" w:cs="Calibri"/>
              </w:rPr>
            </w:pPr>
            <w:r w:rsidRPr="00C24AFB">
              <w:rPr>
                <w:rFonts w:ascii="inherit" w:eastAsia="Times New Roman" w:hAnsi="inherit" w:cs="Calibri"/>
                <w:color w:val="000000"/>
                <w:sz w:val="24"/>
                <w:szCs w:val="24"/>
                <w:bdr w:val="none" w:sz="0" w:space="0" w:color="auto" w:frame="1"/>
              </w:rPr>
              <w:t>Jan. 1, 202</w:t>
            </w:r>
            <w:r w:rsidRPr="00C24AFB">
              <w:rPr>
                <w:rFonts w:ascii="inherit" w:eastAsia="Times New Roman" w:hAnsi="inherit" w:cs="Calibri"/>
                <w:b/>
                <w:bCs/>
                <w:color w:val="000000"/>
                <w:sz w:val="24"/>
                <w:szCs w:val="24"/>
                <w:bdr w:val="none" w:sz="0" w:space="0" w:color="auto" w:frame="1"/>
              </w:rPr>
              <w:t>2</w:t>
            </w:r>
            <w:r w:rsidRPr="00C24AFB">
              <w:rPr>
                <w:rFonts w:ascii="inherit" w:eastAsia="Times New Roman" w:hAnsi="inherit" w:cs="Calibri"/>
                <w:color w:val="000000"/>
                <w:sz w:val="24"/>
                <w:szCs w:val="24"/>
                <w:bdr w:val="none" w:sz="0" w:space="0" w:color="auto" w:frame="1"/>
              </w:rPr>
              <w:t> - but </w:t>
            </w:r>
            <w:r w:rsidRPr="00C24AFB">
              <w:rPr>
                <w:rFonts w:ascii="inherit" w:eastAsia="Times New Roman" w:hAnsi="inherit" w:cs="Calibri"/>
                <w:i/>
                <w:iCs/>
                <w:color w:val="000000"/>
                <w:sz w:val="24"/>
                <w:szCs w:val="24"/>
                <w:bdr w:val="none" w:sz="0" w:space="0" w:color="auto" w:frame="1"/>
              </w:rPr>
              <w:t>CHCs should not be concerned about this date. </w:t>
            </w:r>
          </w:p>
        </w:tc>
        <w:tc>
          <w:tcPr>
            <w:tcW w:w="4120" w:type="dxa"/>
            <w:tcBorders>
              <w:top w:val="nil"/>
              <w:left w:val="nil"/>
              <w:bottom w:val="single" w:sz="8" w:space="0" w:color="000000"/>
              <w:right w:val="double" w:sz="6" w:space="0" w:color="000000"/>
            </w:tcBorders>
            <w:shd w:val="clear" w:color="auto" w:fill="FFFF00"/>
            <w:tcMar>
              <w:top w:w="0" w:type="dxa"/>
              <w:left w:w="108" w:type="dxa"/>
              <w:bottom w:w="0" w:type="dxa"/>
              <w:right w:w="108" w:type="dxa"/>
            </w:tcMar>
            <w:vAlign w:val="center"/>
            <w:hideMark/>
          </w:tcPr>
          <w:p w14:paraId="37F85B29"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strike/>
                <w:color w:val="000000"/>
                <w:sz w:val="24"/>
                <w:szCs w:val="24"/>
                <w:bdr w:val="none" w:sz="0" w:space="0" w:color="auto" w:frame="1"/>
              </w:rPr>
              <w:t>Jan 1, 202</w:t>
            </w:r>
            <w:r w:rsidRPr="00C24AFB">
              <w:rPr>
                <w:rFonts w:ascii="inherit" w:eastAsia="Times New Roman" w:hAnsi="inherit" w:cs="Calibri"/>
                <w:b/>
                <w:bCs/>
                <w:strike/>
                <w:color w:val="000000"/>
                <w:sz w:val="24"/>
                <w:szCs w:val="24"/>
                <w:bdr w:val="none" w:sz="0" w:space="0" w:color="auto" w:frame="1"/>
              </w:rPr>
              <w:t>3.</w:t>
            </w:r>
            <w:r w:rsidRPr="00C24AFB">
              <w:rPr>
                <w:rFonts w:ascii="inherit" w:eastAsia="Times New Roman" w:hAnsi="inherit" w:cs="Calibri"/>
                <w:b/>
                <w:bCs/>
                <w:color w:val="000000"/>
                <w:sz w:val="24"/>
                <w:szCs w:val="24"/>
                <w:bdr w:val="none" w:sz="0" w:space="0" w:color="auto" w:frame="1"/>
              </w:rPr>
              <w:t> </w:t>
            </w:r>
            <w:r w:rsidRPr="00C24AFB">
              <w:rPr>
                <w:rFonts w:ascii="inherit" w:eastAsia="Times New Roman" w:hAnsi="inherit" w:cs="Calibri"/>
                <w:color w:val="000000"/>
                <w:sz w:val="24"/>
                <w:szCs w:val="24"/>
                <w:bdr w:val="none" w:sz="0" w:space="0" w:color="auto" w:frame="1"/>
              </w:rPr>
              <w:t> On 12/2/22, CMS announced that it will </w:t>
            </w:r>
            <w:r w:rsidRPr="00C24AFB">
              <w:rPr>
                <w:rFonts w:ascii="inherit" w:eastAsia="Times New Roman" w:hAnsi="inherit" w:cs="Calibri"/>
                <w:b/>
                <w:bCs/>
                <w:color w:val="000000"/>
                <w:sz w:val="24"/>
                <w:szCs w:val="24"/>
                <w:bdr w:val="none" w:sz="0" w:space="0" w:color="auto" w:frame="1"/>
              </w:rPr>
              <w:t>delay enforcement of this requirement indefinitely**</w:t>
            </w:r>
            <w:r w:rsidRPr="00C24AFB">
              <w:rPr>
                <w:rFonts w:ascii="inherit" w:eastAsia="Times New Roman" w:hAnsi="inherit" w:cs="Calibri"/>
                <w:color w:val="000000"/>
                <w:sz w:val="24"/>
                <w:szCs w:val="24"/>
                <w:bdr w:val="none" w:sz="0" w:space="0" w:color="auto" w:frame="1"/>
              </w:rPr>
              <w:t>. This Phase will not be enforced until 1.  Standardized IT systems are developed and implemented to automate sharing this information.  2.  CMS issues a Final Rule requiring the use of these systems, and 3.  CHCs have "sufficient time" to come into compliance with the Final Rule. </w:t>
            </w:r>
          </w:p>
        </w:tc>
        <w:tc>
          <w:tcPr>
            <w:tcW w:w="36" w:type="dxa"/>
            <w:tcMar>
              <w:top w:w="0" w:type="dxa"/>
              <w:left w:w="108" w:type="dxa"/>
              <w:bottom w:w="0" w:type="dxa"/>
              <w:right w:w="108" w:type="dxa"/>
            </w:tcMar>
            <w:vAlign w:val="center"/>
            <w:hideMark/>
          </w:tcPr>
          <w:p w14:paraId="4DCE09B0" w14:textId="77777777" w:rsidR="00C24AFB" w:rsidRPr="00C24AFB" w:rsidRDefault="00C24AFB" w:rsidP="00C24AFB">
            <w:pPr>
              <w:spacing w:after="0" w:line="240" w:lineRule="auto"/>
              <w:rPr>
                <w:rFonts w:ascii="Calibri" w:eastAsia="Times New Roman" w:hAnsi="Calibri" w:cs="Calibri"/>
              </w:rPr>
            </w:pPr>
          </w:p>
        </w:tc>
        <w:tc>
          <w:tcPr>
            <w:tcW w:w="6" w:type="dxa"/>
            <w:vAlign w:val="center"/>
            <w:hideMark/>
          </w:tcPr>
          <w:p w14:paraId="74567DF3" w14:textId="77777777" w:rsidR="00C24AFB" w:rsidRPr="00C24AFB" w:rsidRDefault="00C24AFB" w:rsidP="00C24AFB">
            <w:pPr>
              <w:spacing w:after="0" w:line="240" w:lineRule="auto"/>
              <w:rPr>
                <w:rFonts w:ascii="Times New Roman" w:eastAsia="Times New Roman" w:hAnsi="Times New Roman" w:cs="Times New Roman"/>
                <w:sz w:val="20"/>
                <w:szCs w:val="20"/>
              </w:rPr>
            </w:pPr>
          </w:p>
        </w:tc>
      </w:tr>
      <w:tr w:rsidR="00C24AFB" w:rsidRPr="00C24AFB" w14:paraId="2EAE481B" w14:textId="77777777" w:rsidTr="00C24AFB">
        <w:trPr>
          <w:trHeight w:val="960"/>
        </w:trPr>
        <w:tc>
          <w:tcPr>
            <w:tcW w:w="1420" w:type="dxa"/>
            <w:tcBorders>
              <w:top w:val="nil"/>
              <w:left w:val="double" w:sz="6" w:space="0" w:color="000000"/>
              <w:bottom w:val="double" w:sz="6" w:space="0" w:color="000000"/>
              <w:right w:val="single" w:sz="8" w:space="0" w:color="000000"/>
            </w:tcBorders>
            <w:tcMar>
              <w:top w:w="0" w:type="dxa"/>
              <w:left w:w="108" w:type="dxa"/>
              <w:bottom w:w="0" w:type="dxa"/>
              <w:right w:w="108" w:type="dxa"/>
            </w:tcMar>
            <w:vAlign w:val="center"/>
            <w:hideMark/>
          </w:tcPr>
          <w:p w14:paraId="45C97566"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b/>
                <w:bCs/>
                <w:color w:val="000000"/>
                <w:sz w:val="24"/>
                <w:szCs w:val="24"/>
                <w:bdr w:val="none" w:sz="0" w:space="0" w:color="auto" w:frame="1"/>
              </w:rPr>
              <w:lastRenderedPageBreak/>
              <w:t>Phase THREE</w:t>
            </w:r>
          </w:p>
        </w:tc>
        <w:tc>
          <w:tcPr>
            <w:tcW w:w="2000" w:type="dxa"/>
            <w:tcBorders>
              <w:top w:val="nil"/>
              <w:left w:val="nil"/>
              <w:bottom w:val="double" w:sz="6" w:space="0" w:color="000000"/>
              <w:right w:val="single" w:sz="8" w:space="0" w:color="000000"/>
            </w:tcBorders>
            <w:tcMar>
              <w:top w:w="0" w:type="dxa"/>
              <w:left w:w="108" w:type="dxa"/>
              <w:bottom w:w="0" w:type="dxa"/>
              <w:right w:w="108" w:type="dxa"/>
            </w:tcMar>
            <w:vAlign w:val="center"/>
            <w:hideMark/>
          </w:tcPr>
          <w:p w14:paraId="5CA99B20"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color w:val="000000"/>
                <w:sz w:val="24"/>
                <w:szCs w:val="24"/>
                <w:bdr w:val="none" w:sz="0" w:space="0" w:color="auto" w:frame="1"/>
              </w:rPr>
              <w:t>Insured patients who plan to bill their insurance</w:t>
            </w:r>
          </w:p>
        </w:tc>
        <w:tc>
          <w:tcPr>
            <w:tcW w:w="3780" w:type="dxa"/>
            <w:tcBorders>
              <w:top w:val="nil"/>
              <w:left w:val="nil"/>
              <w:bottom w:val="double" w:sz="6" w:space="0" w:color="000000"/>
              <w:right w:val="single" w:sz="8" w:space="0" w:color="000000"/>
            </w:tcBorders>
            <w:tcMar>
              <w:top w:w="0" w:type="dxa"/>
              <w:left w:w="108" w:type="dxa"/>
              <w:bottom w:w="0" w:type="dxa"/>
              <w:right w:w="108" w:type="dxa"/>
            </w:tcMar>
            <w:vAlign w:val="center"/>
            <w:hideMark/>
          </w:tcPr>
          <w:p w14:paraId="71B108FE"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color w:val="000000"/>
                <w:sz w:val="24"/>
                <w:szCs w:val="24"/>
                <w:bdr w:val="none" w:sz="0" w:space="0" w:color="auto" w:frame="1"/>
              </w:rPr>
              <w:t>Providers must send GFE info to insurance companies of insured patients</w:t>
            </w:r>
          </w:p>
        </w:tc>
        <w:tc>
          <w:tcPr>
            <w:tcW w:w="6260"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14:paraId="2FB2E778"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color w:val="000000"/>
                <w:sz w:val="24"/>
                <w:szCs w:val="24"/>
                <w:bdr w:val="none" w:sz="0" w:space="0" w:color="auto" w:frame="1"/>
              </w:rPr>
              <w:t>In 2021, CMS </w:t>
            </w:r>
            <w:r w:rsidRPr="00C24AFB">
              <w:rPr>
                <w:rFonts w:ascii="inherit" w:eastAsia="Times New Roman" w:hAnsi="inherit" w:cs="Calibri"/>
                <w:b/>
                <w:bCs/>
                <w:color w:val="000000"/>
                <w:sz w:val="24"/>
                <w:szCs w:val="24"/>
                <w:bdr w:val="none" w:sz="0" w:space="0" w:color="auto" w:frame="1"/>
              </w:rPr>
              <w:t>postponed</w:t>
            </w:r>
            <w:r w:rsidRPr="00C24AFB">
              <w:rPr>
                <w:rFonts w:ascii="inherit" w:eastAsia="Times New Roman" w:hAnsi="inherit" w:cs="Calibri"/>
                <w:color w:val="000000"/>
                <w:sz w:val="24"/>
                <w:szCs w:val="24"/>
                <w:bdr w:val="none" w:sz="0" w:space="0" w:color="auto" w:frame="1"/>
              </w:rPr>
              <w:t> these requirements </w:t>
            </w:r>
            <w:r w:rsidRPr="00C24AFB">
              <w:rPr>
                <w:rFonts w:ascii="inherit" w:eastAsia="Times New Roman" w:hAnsi="inherit" w:cs="Calibri"/>
                <w:b/>
                <w:bCs/>
                <w:color w:val="000000"/>
                <w:sz w:val="24"/>
                <w:szCs w:val="24"/>
                <w:bdr w:val="none" w:sz="0" w:space="0" w:color="auto" w:frame="1"/>
              </w:rPr>
              <w:t>indefinitely,</w:t>
            </w:r>
            <w:r w:rsidRPr="00C24AFB">
              <w:rPr>
                <w:rFonts w:ascii="inherit" w:eastAsia="Times New Roman" w:hAnsi="inherit" w:cs="Calibri"/>
                <w:color w:val="000000"/>
                <w:sz w:val="24"/>
                <w:szCs w:val="24"/>
                <w:bdr w:val="none" w:sz="0" w:space="0" w:color="auto" w:frame="1"/>
              </w:rPr>
              <w:t> citing technological issues.</w:t>
            </w:r>
          </w:p>
        </w:tc>
        <w:tc>
          <w:tcPr>
            <w:tcW w:w="36" w:type="dxa"/>
            <w:tcMar>
              <w:top w:w="0" w:type="dxa"/>
              <w:left w:w="108" w:type="dxa"/>
              <w:bottom w:w="0" w:type="dxa"/>
              <w:right w:w="108" w:type="dxa"/>
            </w:tcMar>
            <w:vAlign w:val="center"/>
            <w:hideMark/>
          </w:tcPr>
          <w:p w14:paraId="7D66AF58" w14:textId="77777777" w:rsidR="00C24AFB" w:rsidRPr="00C24AFB" w:rsidRDefault="00C24AFB" w:rsidP="00C24AFB">
            <w:pPr>
              <w:spacing w:after="0" w:line="240" w:lineRule="auto"/>
              <w:rPr>
                <w:rFonts w:ascii="Calibri" w:eastAsia="Times New Roman" w:hAnsi="Calibri" w:cs="Calibri"/>
              </w:rPr>
            </w:pPr>
          </w:p>
        </w:tc>
        <w:tc>
          <w:tcPr>
            <w:tcW w:w="6" w:type="dxa"/>
            <w:vAlign w:val="center"/>
            <w:hideMark/>
          </w:tcPr>
          <w:p w14:paraId="6761D17B" w14:textId="77777777" w:rsidR="00C24AFB" w:rsidRPr="00C24AFB" w:rsidRDefault="00C24AFB" w:rsidP="00C24AFB">
            <w:pPr>
              <w:spacing w:after="0" w:line="240" w:lineRule="auto"/>
              <w:rPr>
                <w:rFonts w:ascii="Times New Roman" w:eastAsia="Times New Roman" w:hAnsi="Times New Roman" w:cs="Times New Roman"/>
                <w:sz w:val="20"/>
                <w:szCs w:val="20"/>
              </w:rPr>
            </w:pPr>
          </w:p>
        </w:tc>
      </w:tr>
      <w:tr w:rsidR="00C24AFB" w:rsidRPr="00C24AFB" w14:paraId="43AA6E8E" w14:textId="77777777" w:rsidTr="00C24AFB">
        <w:trPr>
          <w:trHeight w:val="975"/>
        </w:trPr>
        <w:tc>
          <w:tcPr>
            <w:tcW w:w="13460" w:type="dxa"/>
            <w:gridSpan w:val="5"/>
            <w:tcMar>
              <w:top w:w="0" w:type="dxa"/>
              <w:left w:w="108" w:type="dxa"/>
              <w:bottom w:w="0" w:type="dxa"/>
              <w:right w:w="108" w:type="dxa"/>
            </w:tcMar>
            <w:vAlign w:val="bottom"/>
            <w:hideMark/>
          </w:tcPr>
          <w:p w14:paraId="6F110747"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i/>
                <w:iCs/>
                <w:color w:val="000000"/>
                <w:sz w:val="24"/>
                <w:szCs w:val="24"/>
                <w:bdr w:val="none" w:sz="0" w:space="0" w:color="auto" w:frame="1"/>
              </w:rPr>
              <w:t>* In the GFE world, a "self-pay" patient is someone who has insurance but chooses not to submit a claim for the service.  Persons who pay the full cost themselves, but also submit a claim for the service to count against their deductible, are not considered "self-pay" for GFE purposes. </w:t>
            </w:r>
          </w:p>
        </w:tc>
        <w:tc>
          <w:tcPr>
            <w:tcW w:w="36" w:type="dxa"/>
            <w:tcMar>
              <w:top w:w="0" w:type="dxa"/>
              <w:left w:w="108" w:type="dxa"/>
              <w:bottom w:w="0" w:type="dxa"/>
              <w:right w:w="108" w:type="dxa"/>
            </w:tcMar>
            <w:vAlign w:val="center"/>
            <w:hideMark/>
          </w:tcPr>
          <w:p w14:paraId="7B5115F7" w14:textId="77777777" w:rsidR="00C24AFB" w:rsidRPr="00C24AFB" w:rsidRDefault="00C24AFB" w:rsidP="00C24AFB">
            <w:pPr>
              <w:spacing w:after="0" w:line="240" w:lineRule="auto"/>
              <w:rPr>
                <w:rFonts w:ascii="Calibri" w:eastAsia="Times New Roman" w:hAnsi="Calibri" w:cs="Calibri"/>
              </w:rPr>
            </w:pPr>
          </w:p>
        </w:tc>
        <w:tc>
          <w:tcPr>
            <w:tcW w:w="6" w:type="dxa"/>
            <w:vAlign w:val="center"/>
            <w:hideMark/>
          </w:tcPr>
          <w:p w14:paraId="70C4A993" w14:textId="77777777" w:rsidR="00C24AFB" w:rsidRPr="00C24AFB" w:rsidRDefault="00C24AFB" w:rsidP="00C24AFB">
            <w:pPr>
              <w:spacing w:after="0" w:line="240" w:lineRule="auto"/>
              <w:rPr>
                <w:rFonts w:ascii="Times New Roman" w:eastAsia="Times New Roman" w:hAnsi="Times New Roman" w:cs="Times New Roman"/>
                <w:sz w:val="20"/>
                <w:szCs w:val="20"/>
              </w:rPr>
            </w:pPr>
          </w:p>
        </w:tc>
      </w:tr>
      <w:tr w:rsidR="00C24AFB" w:rsidRPr="00C24AFB" w14:paraId="133DDDA6" w14:textId="77777777" w:rsidTr="00C24AFB">
        <w:trPr>
          <w:trHeight w:val="135"/>
        </w:trPr>
        <w:tc>
          <w:tcPr>
            <w:tcW w:w="1420" w:type="dxa"/>
            <w:tcMar>
              <w:top w:w="0" w:type="dxa"/>
              <w:left w:w="108" w:type="dxa"/>
              <w:bottom w:w="0" w:type="dxa"/>
              <w:right w:w="108" w:type="dxa"/>
            </w:tcMar>
            <w:vAlign w:val="bottom"/>
            <w:hideMark/>
          </w:tcPr>
          <w:p w14:paraId="7C6004B1"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2000" w:type="dxa"/>
            <w:tcMar>
              <w:top w:w="0" w:type="dxa"/>
              <w:left w:w="108" w:type="dxa"/>
              <w:bottom w:w="0" w:type="dxa"/>
              <w:right w:w="108" w:type="dxa"/>
            </w:tcMar>
            <w:vAlign w:val="bottom"/>
            <w:hideMark/>
          </w:tcPr>
          <w:p w14:paraId="0AA0E29B"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3780" w:type="dxa"/>
            <w:tcMar>
              <w:top w:w="0" w:type="dxa"/>
              <w:left w:w="108" w:type="dxa"/>
              <w:bottom w:w="0" w:type="dxa"/>
              <w:right w:w="108" w:type="dxa"/>
            </w:tcMar>
            <w:vAlign w:val="bottom"/>
            <w:hideMark/>
          </w:tcPr>
          <w:p w14:paraId="592201CA"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2140" w:type="dxa"/>
            <w:tcMar>
              <w:top w:w="0" w:type="dxa"/>
              <w:left w:w="108" w:type="dxa"/>
              <w:bottom w:w="0" w:type="dxa"/>
              <w:right w:w="108" w:type="dxa"/>
            </w:tcMar>
            <w:vAlign w:val="bottom"/>
            <w:hideMark/>
          </w:tcPr>
          <w:p w14:paraId="08AB860B"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4120" w:type="dxa"/>
            <w:tcMar>
              <w:top w:w="0" w:type="dxa"/>
              <w:left w:w="108" w:type="dxa"/>
              <w:bottom w:w="0" w:type="dxa"/>
              <w:right w:w="108" w:type="dxa"/>
            </w:tcMar>
            <w:vAlign w:val="bottom"/>
            <w:hideMark/>
          </w:tcPr>
          <w:p w14:paraId="3741F770"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36" w:type="dxa"/>
            <w:tcMar>
              <w:top w:w="0" w:type="dxa"/>
              <w:left w:w="108" w:type="dxa"/>
              <w:bottom w:w="0" w:type="dxa"/>
              <w:right w:w="108" w:type="dxa"/>
            </w:tcMar>
            <w:vAlign w:val="center"/>
            <w:hideMark/>
          </w:tcPr>
          <w:p w14:paraId="78BE5A4D"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6" w:type="dxa"/>
            <w:vAlign w:val="center"/>
            <w:hideMark/>
          </w:tcPr>
          <w:p w14:paraId="399B3B47" w14:textId="77777777" w:rsidR="00C24AFB" w:rsidRPr="00C24AFB" w:rsidRDefault="00C24AFB" w:rsidP="00C24AFB">
            <w:pPr>
              <w:spacing w:after="0" w:line="240" w:lineRule="auto"/>
              <w:rPr>
                <w:rFonts w:ascii="Times New Roman" w:eastAsia="Times New Roman" w:hAnsi="Times New Roman" w:cs="Times New Roman"/>
                <w:sz w:val="20"/>
                <w:szCs w:val="20"/>
              </w:rPr>
            </w:pPr>
          </w:p>
        </w:tc>
      </w:tr>
      <w:tr w:rsidR="00C24AFB" w:rsidRPr="00C24AFB" w14:paraId="0FAEB9B2" w14:textId="77777777" w:rsidTr="00C24AFB">
        <w:trPr>
          <w:trHeight w:val="375"/>
        </w:trPr>
        <w:tc>
          <w:tcPr>
            <w:tcW w:w="9340" w:type="dxa"/>
            <w:gridSpan w:val="4"/>
            <w:tcMar>
              <w:top w:w="0" w:type="dxa"/>
              <w:left w:w="108" w:type="dxa"/>
              <w:bottom w:w="0" w:type="dxa"/>
              <w:right w:w="108" w:type="dxa"/>
            </w:tcMar>
            <w:vAlign w:val="bottom"/>
            <w:hideMark/>
          </w:tcPr>
          <w:p w14:paraId="476CEE63" w14:textId="77777777" w:rsidR="00C24AFB" w:rsidRPr="00C24AFB" w:rsidRDefault="00C24AFB" w:rsidP="00C24AFB">
            <w:pPr>
              <w:spacing w:after="0" w:line="240" w:lineRule="auto"/>
              <w:rPr>
                <w:rFonts w:ascii="Calibri" w:eastAsia="Times New Roman" w:hAnsi="Calibri" w:cs="Calibri"/>
              </w:rPr>
            </w:pPr>
            <w:r w:rsidRPr="00C24AFB">
              <w:rPr>
                <w:rFonts w:ascii="inherit" w:eastAsia="Times New Roman" w:hAnsi="inherit" w:cs="Calibri"/>
                <w:color w:val="000000"/>
                <w:sz w:val="28"/>
                <w:szCs w:val="28"/>
                <w:bdr w:val="none" w:sz="0" w:space="0" w:color="auto" w:frame="1"/>
              </w:rPr>
              <w:t>For more info on the delay of Phase 2 requirements, see shorturl.at/</w:t>
            </w:r>
            <w:proofErr w:type="spellStart"/>
            <w:r w:rsidRPr="00C24AFB">
              <w:rPr>
                <w:rFonts w:ascii="inherit" w:eastAsia="Times New Roman" w:hAnsi="inherit" w:cs="Calibri"/>
                <w:color w:val="000000"/>
                <w:sz w:val="28"/>
                <w:szCs w:val="28"/>
                <w:bdr w:val="none" w:sz="0" w:space="0" w:color="auto" w:frame="1"/>
              </w:rPr>
              <w:t>kvAFX</w:t>
            </w:r>
            <w:proofErr w:type="spellEnd"/>
          </w:p>
        </w:tc>
        <w:tc>
          <w:tcPr>
            <w:tcW w:w="4120" w:type="dxa"/>
            <w:tcMar>
              <w:top w:w="0" w:type="dxa"/>
              <w:left w:w="108" w:type="dxa"/>
              <w:bottom w:w="0" w:type="dxa"/>
              <w:right w:w="108" w:type="dxa"/>
            </w:tcMar>
            <w:vAlign w:val="bottom"/>
            <w:hideMark/>
          </w:tcPr>
          <w:p w14:paraId="390237F0" w14:textId="77777777" w:rsidR="00C24AFB" w:rsidRPr="00C24AFB" w:rsidRDefault="00C24AFB" w:rsidP="00C24AFB">
            <w:pPr>
              <w:spacing w:after="0" w:line="240" w:lineRule="auto"/>
              <w:rPr>
                <w:rFonts w:ascii="Calibri" w:eastAsia="Times New Roman" w:hAnsi="Calibri" w:cs="Calibri"/>
              </w:rPr>
            </w:pPr>
          </w:p>
        </w:tc>
        <w:tc>
          <w:tcPr>
            <w:tcW w:w="36" w:type="dxa"/>
            <w:tcMar>
              <w:top w:w="0" w:type="dxa"/>
              <w:left w:w="108" w:type="dxa"/>
              <w:bottom w:w="0" w:type="dxa"/>
              <w:right w:w="108" w:type="dxa"/>
            </w:tcMar>
            <w:vAlign w:val="center"/>
            <w:hideMark/>
          </w:tcPr>
          <w:p w14:paraId="2528C236"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6" w:type="dxa"/>
            <w:vAlign w:val="center"/>
            <w:hideMark/>
          </w:tcPr>
          <w:p w14:paraId="27AF6B29" w14:textId="77777777" w:rsidR="00C24AFB" w:rsidRPr="00C24AFB" w:rsidRDefault="00C24AFB" w:rsidP="00C24AFB">
            <w:pPr>
              <w:spacing w:after="0" w:line="240" w:lineRule="auto"/>
              <w:rPr>
                <w:rFonts w:ascii="Times New Roman" w:eastAsia="Times New Roman" w:hAnsi="Times New Roman" w:cs="Times New Roman"/>
                <w:sz w:val="20"/>
                <w:szCs w:val="20"/>
              </w:rPr>
            </w:pPr>
          </w:p>
        </w:tc>
      </w:tr>
      <w:tr w:rsidR="00C24AFB" w:rsidRPr="00C24AFB" w14:paraId="69EB12E7" w14:textId="77777777" w:rsidTr="00C24AFB">
        <w:trPr>
          <w:trHeight w:val="105"/>
        </w:trPr>
        <w:tc>
          <w:tcPr>
            <w:tcW w:w="1420" w:type="dxa"/>
            <w:tcMar>
              <w:top w:w="0" w:type="dxa"/>
              <w:left w:w="108" w:type="dxa"/>
              <w:bottom w:w="0" w:type="dxa"/>
              <w:right w:w="108" w:type="dxa"/>
            </w:tcMar>
            <w:vAlign w:val="bottom"/>
            <w:hideMark/>
          </w:tcPr>
          <w:p w14:paraId="3D16A52D"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2000" w:type="dxa"/>
            <w:tcMar>
              <w:top w:w="0" w:type="dxa"/>
              <w:left w:w="108" w:type="dxa"/>
              <w:bottom w:w="0" w:type="dxa"/>
              <w:right w:w="108" w:type="dxa"/>
            </w:tcMar>
            <w:vAlign w:val="bottom"/>
            <w:hideMark/>
          </w:tcPr>
          <w:p w14:paraId="28CB7C13"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3780" w:type="dxa"/>
            <w:tcMar>
              <w:top w:w="0" w:type="dxa"/>
              <w:left w:w="108" w:type="dxa"/>
              <w:bottom w:w="0" w:type="dxa"/>
              <w:right w:w="108" w:type="dxa"/>
            </w:tcMar>
            <w:vAlign w:val="bottom"/>
            <w:hideMark/>
          </w:tcPr>
          <w:p w14:paraId="2163BEBE"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2140" w:type="dxa"/>
            <w:tcMar>
              <w:top w:w="0" w:type="dxa"/>
              <w:left w:w="108" w:type="dxa"/>
              <w:bottom w:w="0" w:type="dxa"/>
              <w:right w:w="108" w:type="dxa"/>
            </w:tcMar>
            <w:vAlign w:val="center"/>
            <w:hideMark/>
          </w:tcPr>
          <w:p w14:paraId="0A9950B3"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4120" w:type="dxa"/>
            <w:tcMar>
              <w:top w:w="0" w:type="dxa"/>
              <w:left w:w="108" w:type="dxa"/>
              <w:bottom w:w="0" w:type="dxa"/>
              <w:right w:w="108" w:type="dxa"/>
            </w:tcMar>
            <w:vAlign w:val="bottom"/>
            <w:hideMark/>
          </w:tcPr>
          <w:p w14:paraId="36B9960E"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36" w:type="dxa"/>
            <w:tcMar>
              <w:top w:w="0" w:type="dxa"/>
              <w:left w:w="108" w:type="dxa"/>
              <w:bottom w:w="0" w:type="dxa"/>
              <w:right w:w="108" w:type="dxa"/>
            </w:tcMar>
            <w:vAlign w:val="center"/>
            <w:hideMark/>
          </w:tcPr>
          <w:p w14:paraId="08BE6551"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6" w:type="dxa"/>
            <w:vAlign w:val="center"/>
            <w:hideMark/>
          </w:tcPr>
          <w:p w14:paraId="0B4179D2" w14:textId="77777777" w:rsidR="00C24AFB" w:rsidRPr="00C24AFB" w:rsidRDefault="00C24AFB" w:rsidP="00C24AFB">
            <w:pPr>
              <w:spacing w:after="0" w:line="240" w:lineRule="auto"/>
              <w:rPr>
                <w:rFonts w:ascii="Times New Roman" w:eastAsia="Times New Roman" w:hAnsi="Times New Roman" w:cs="Times New Roman"/>
                <w:sz w:val="20"/>
                <w:szCs w:val="20"/>
              </w:rPr>
            </w:pPr>
          </w:p>
        </w:tc>
      </w:tr>
      <w:tr w:rsidR="00C24AFB" w:rsidRPr="00C24AFB" w14:paraId="523D9ED0" w14:textId="77777777" w:rsidTr="00C24AFB">
        <w:trPr>
          <w:trHeight w:val="375"/>
        </w:trPr>
        <w:tc>
          <w:tcPr>
            <w:tcW w:w="7200" w:type="dxa"/>
            <w:gridSpan w:val="3"/>
            <w:shd w:val="clear" w:color="auto" w:fill="FFFFFF"/>
            <w:tcMar>
              <w:top w:w="0" w:type="dxa"/>
              <w:left w:w="108" w:type="dxa"/>
              <w:bottom w:w="0" w:type="dxa"/>
              <w:right w:w="108" w:type="dxa"/>
            </w:tcMar>
            <w:vAlign w:val="bottom"/>
            <w:hideMark/>
          </w:tcPr>
          <w:p w14:paraId="7A4108CC" w14:textId="77777777" w:rsidR="00C24AFB" w:rsidRPr="00C24AFB" w:rsidRDefault="00C24AFB" w:rsidP="00C24AFB">
            <w:pPr>
              <w:spacing w:after="0" w:line="240" w:lineRule="auto"/>
              <w:rPr>
                <w:rFonts w:ascii="Calibri" w:eastAsia="Times New Roman" w:hAnsi="Calibri" w:cs="Calibri"/>
                <w:color w:val="242424"/>
              </w:rPr>
            </w:pPr>
            <w:r w:rsidRPr="00C24AFB">
              <w:rPr>
                <w:rFonts w:ascii="inherit" w:eastAsia="Times New Roman" w:hAnsi="inherit" w:cs="Calibri"/>
                <w:color w:val="000000"/>
                <w:sz w:val="28"/>
                <w:szCs w:val="28"/>
                <w:bdr w:val="none" w:sz="0" w:space="0" w:color="auto" w:frame="1"/>
              </w:rPr>
              <w:t>A Toolkit on GFEs for CHCs is available at </w:t>
            </w:r>
            <w:r w:rsidRPr="00C24AFB">
              <w:rPr>
                <w:rFonts w:ascii="inherit" w:eastAsia="Times New Roman" w:hAnsi="inherit" w:cs="Calibri"/>
                <w:b/>
                <w:bCs/>
                <w:color w:val="000000"/>
                <w:sz w:val="28"/>
                <w:szCs w:val="28"/>
                <w:bdr w:val="none" w:sz="0" w:space="0" w:color="auto" w:frame="1"/>
              </w:rPr>
              <w:t>shorturl.at/</w:t>
            </w:r>
            <w:proofErr w:type="spellStart"/>
            <w:r w:rsidRPr="00C24AFB">
              <w:rPr>
                <w:rFonts w:ascii="inherit" w:eastAsia="Times New Roman" w:hAnsi="inherit" w:cs="Calibri"/>
                <w:b/>
                <w:bCs/>
                <w:color w:val="000000"/>
                <w:sz w:val="28"/>
                <w:szCs w:val="28"/>
                <w:bdr w:val="none" w:sz="0" w:space="0" w:color="auto" w:frame="1"/>
              </w:rPr>
              <w:t>dzKLW</w:t>
            </w:r>
            <w:proofErr w:type="spellEnd"/>
          </w:p>
        </w:tc>
        <w:tc>
          <w:tcPr>
            <w:tcW w:w="0" w:type="auto"/>
            <w:vAlign w:val="center"/>
            <w:hideMark/>
          </w:tcPr>
          <w:p w14:paraId="2BFB74FE"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0" w:type="auto"/>
            <w:vAlign w:val="center"/>
            <w:hideMark/>
          </w:tcPr>
          <w:p w14:paraId="68C409EA"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0" w:type="auto"/>
            <w:vAlign w:val="center"/>
            <w:hideMark/>
          </w:tcPr>
          <w:p w14:paraId="43BD4773" w14:textId="77777777" w:rsidR="00C24AFB" w:rsidRPr="00C24AFB" w:rsidRDefault="00C24AFB" w:rsidP="00C24AFB">
            <w:pPr>
              <w:spacing w:after="0" w:line="240" w:lineRule="auto"/>
              <w:rPr>
                <w:rFonts w:ascii="Times New Roman" w:eastAsia="Times New Roman" w:hAnsi="Times New Roman" w:cs="Times New Roman"/>
                <w:sz w:val="20"/>
                <w:szCs w:val="20"/>
              </w:rPr>
            </w:pPr>
          </w:p>
        </w:tc>
        <w:tc>
          <w:tcPr>
            <w:tcW w:w="0" w:type="auto"/>
            <w:vAlign w:val="center"/>
            <w:hideMark/>
          </w:tcPr>
          <w:p w14:paraId="4F6AE0C4" w14:textId="77777777" w:rsidR="00C24AFB" w:rsidRPr="00C24AFB" w:rsidRDefault="00C24AFB" w:rsidP="00C24AFB">
            <w:pPr>
              <w:spacing w:after="0" w:line="240" w:lineRule="auto"/>
              <w:rPr>
                <w:rFonts w:ascii="Times New Roman" w:eastAsia="Times New Roman" w:hAnsi="Times New Roman" w:cs="Times New Roman"/>
                <w:sz w:val="20"/>
                <w:szCs w:val="20"/>
              </w:rPr>
            </w:pPr>
          </w:p>
        </w:tc>
      </w:tr>
    </w:tbl>
    <w:p w14:paraId="14062F02" w14:textId="77777777" w:rsidR="008E00FF" w:rsidRDefault="008E00FF"/>
    <w:sectPr w:rsidR="008E00FF" w:rsidSect="00C24A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5F1"/>
    <w:multiLevelType w:val="multilevel"/>
    <w:tmpl w:val="00D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EE499C"/>
    <w:multiLevelType w:val="multilevel"/>
    <w:tmpl w:val="6F72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90366D"/>
    <w:multiLevelType w:val="multilevel"/>
    <w:tmpl w:val="677A4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3808784">
    <w:abstractNumId w:val="2"/>
  </w:num>
  <w:num w:numId="2" w16cid:durableId="922106482">
    <w:abstractNumId w:val="1"/>
  </w:num>
  <w:num w:numId="3" w16cid:durableId="140964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FB"/>
    <w:rsid w:val="000842C2"/>
    <w:rsid w:val="007C2BA3"/>
    <w:rsid w:val="008E00FF"/>
    <w:rsid w:val="00C24AFB"/>
    <w:rsid w:val="00E3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F7AA"/>
  <w15:chartTrackingRefBased/>
  <w15:docId w15:val="{3173A51E-8767-4EBB-AD30-C1F0C508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24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4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ast-2.protection.sophos.com/?d=google.com&amp;u=aHR0cHM6Ly93d3cuZ29vZ2xlLmNvbS91cmw_c2E9dCZyY3Q9aiZxPSZlc3JjPXMmc291cmNlPXdlYiZjZD0mdmVkPTJhaFVLRXdqWHNfYm94T1g3QWhXb0RrUUlIYU1sQkpnUUZub0VDQ0VRQVEmdXJsPWh0dHBzJTNBJTJGJTJGd3d3LmNtcy5nb3YlMkZmaWxlcyUyRmRvY3VtZW50JTJGZ29vZC1mYWl0aC1lc3RpbWF0ZS11bmluc3VyZWQtc2VsZi1wYXktcGFydC0zLnBkZiZ1c2c9QU92VmF3MlR0Y2Yzd2VvYXhrNEVMaDVnRExsbQ==&amp;i=NjEzMjk5NWE3NjE5YzcwZThhMDcyMGYz&amp;t=RjlyRGc1NHVNYkF4dklnU3hva3JkVkJaeHRiWWJYZHVPNURvYW42SFllST0=&amp;h=67470e22b37b4577a022248e4f971eed&amp;s=AVNPUEhUT0NFTkNSWVBUSVa5fqgXKd0t1dWYxK4x-U5OEfyGmGAUBYT2YqXPwIAMqg" TargetMode="External"/><Relationship Id="rId5" Type="http://schemas.openxmlformats.org/officeDocument/2006/relationships/hyperlink" Target="https://us-east-2.protection.sophos.com/?d=google.com&amp;u=aHR0cHM6Ly93d3cuZ29vZ2xlLmNvbS91cmw_c2E9dCZyY3Q9aiZxPSZlc3JjPXMmc291cmNlPXdlYiZjZD0mdmVkPTJhaFVLRXdqWHNfYm94T1g3QWhXb0RrUUlIYU1sQkpnUUZub0VDQ0VRQVEmdXJsPWh0dHBzJTNBJTJGJTJGd3d3LmNtcy5nb3YlMkZmaWxlcyUyRmRvY3VtZW50JTJGZ29vZC1mYWl0aC1lc3RpbWF0ZS11bmluc3VyZWQtc2VsZi1wYXktcGFydC0zLnBkZiZ1c2c9QU92VmF3MlR0Y2Yzd2VvYXhrNEVMaDVnRExsbQ==&amp;i=NjEzMjk5NWE3NjE5YzcwZThhMDcyMGYz&amp;t=RjlyRGc1NHVNYkF4dklnU3hva3JkVkJaeHRiWWJYZHVPNURvYW42SFllST0=&amp;h=67470e22b37b4577a022248e4f971eed&amp;s=AVNPUEhUT0NFTkNSWVBUSVa5fqgXKd0t1dWYxK4x-U5OEfyGmGAUBYT2YqXPwIAMq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Woolsey</dc:creator>
  <cp:keywords/>
  <dc:description/>
  <cp:lastModifiedBy>Sarah Woolsey</cp:lastModifiedBy>
  <cp:revision>2</cp:revision>
  <dcterms:created xsi:type="dcterms:W3CDTF">2022-12-08T18:05:00Z</dcterms:created>
  <dcterms:modified xsi:type="dcterms:W3CDTF">2022-12-08T18:05:00Z</dcterms:modified>
</cp:coreProperties>
</file>