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DDD" w14:textId="77777777" w:rsidR="007D6575" w:rsidRDefault="007D6575" w:rsidP="007D6575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>Continuing Medical Education</w:t>
      </w:r>
    </w:p>
    <w:p w14:paraId="55D1FFC6" w14:textId="77777777" w:rsidR="007D6575" w:rsidRDefault="007D6575" w:rsidP="007D6575">
      <w:pPr>
        <w:pStyle w:val="x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hyperlink r:id="rId5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2"/>
            <w:szCs w:val="22"/>
            <w:bdr w:val="none" w:sz="0" w:space="0" w:color="auto" w:frame="1"/>
          </w:rPr>
          <w:t>This handout</w:t>
        </w:r>
      </w:hyperlink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links to four different continuing medical education opportunities for healthcare professionals to learn about long COVID, post-viral syndrome, ME/CFS, post-exertional malaise, and related comorbid conditions. Each of these CME options are enduring through 2025.</w:t>
      </w:r>
    </w:p>
    <w:p w14:paraId="744E3C9F" w14:textId="77777777" w:rsidR="007D6575" w:rsidRDefault="007D6575" w:rsidP="007D6575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</w:t>
      </w:r>
    </w:p>
    <w:p w14:paraId="78789CF7" w14:textId="77777777" w:rsidR="007D6575" w:rsidRDefault="007D6575" w:rsidP="007D6575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>Project ECHO</w:t>
      </w:r>
    </w:p>
    <w:p w14:paraId="462A9DA6" w14:textId="77777777" w:rsidR="007D6575" w:rsidRDefault="007D6575" w:rsidP="007D6575">
      <w:pPr>
        <w:pStyle w:val="x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BHC lead an ECHO series with the University of Utah Health addressing </w:t>
      </w:r>
      <w:r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>[batemanhornecenter.org/#u-echo-</w:t>
      </w:r>
      <w:proofErr w:type="gramStart"/>
      <w:r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>videos]Long</w:t>
      </w:r>
      <w:proofErr w:type="gramEnd"/>
      <w:r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 COVID and Post-Viral Syndromes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. The series walks healthcare professionals through the diagnostic criteria of ME/CFS and common comorbid conditions associated with post-viral syndromes, helping to identify and guide the management of PASC patients.</w:t>
      </w:r>
    </w:p>
    <w:p w14:paraId="6BEED520" w14:textId="77777777" w:rsidR="007D6575" w:rsidRDefault="007D6575" w:rsidP="007D6575">
      <w:pPr>
        <w:pStyle w:val="xmsoplainte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The recorded videos and respective slide decks can be found on the </w:t>
      </w:r>
      <w:hyperlink r:id="rId6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2"/>
            <w:szCs w:val="22"/>
            <w:bdr w:val="none" w:sz="0" w:space="0" w:color="auto" w:frame="1"/>
          </w:rPr>
          <w:t>Bateman Horne Center website</w:t>
        </w:r>
      </w:hyperlink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Wingdings" w:hAnsi="Wingdings" w:cs="Calibri"/>
          <w:color w:val="242424"/>
          <w:sz w:val="22"/>
          <w:szCs w:val="22"/>
          <w:bdr w:val="none" w:sz="0" w:space="0" w:color="auto" w:frame="1"/>
        </w:rPr>
        <w:t>à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Healthcare Professionals </w:t>
      </w:r>
      <w:r>
        <w:rPr>
          <w:rFonts w:ascii="Wingdings" w:hAnsi="Wingdings" w:cs="Calibri"/>
          <w:color w:val="242424"/>
          <w:sz w:val="22"/>
          <w:szCs w:val="22"/>
          <w:bdr w:val="none" w:sz="0" w:space="0" w:color="auto" w:frame="1"/>
        </w:rPr>
        <w:t>à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</w:t>
      </w:r>
      <w:hyperlink r:id="rId7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2"/>
            <w:szCs w:val="22"/>
            <w:bdr w:val="none" w:sz="0" w:space="0" w:color="auto" w:frame="1"/>
          </w:rPr>
          <w:t>Long COVID/PASC page</w:t>
        </w:r>
      </w:hyperlink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 </w:t>
      </w:r>
      <w:r>
        <w:rPr>
          <w:rFonts w:ascii="Wingdings" w:hAnsi="Wingdings" w:cs="Calibri"/>
          <w:color w:val="242424"/>
          <w:sz w:val="22"/>
          <w:szCs w:val="22"/>
          <w:bdr w:val="none" w:sz="0" w:space="0" w:color="auto" w:frame="1"/>
        </w:rPr>
        <w:t>à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“</w:t>
      </w:r>
      <w:r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>[batemanhornecenter.org/#u-echo-videos]View recordings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”</w:t>
      </w:r>
    </w:p>
    <w:p w14:paraId="44731513" w14:textId="77777777" w:rsidR="007D6575" w:rsidRDefault="007D6575" w:rsidP="007D6575">
      <w:pPr>
        <w:pStyle w:val="x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DFC5BD6" w14:textId="77777777" w:rsidR="007D6575" w:rsidRDefault="007D6575" w:rsidP="007D6575">
      <w:pPr>
        <w:pStyle w:val="x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The Long COVID &amp; Fatiguing Illness Recovery Program (LC&amp;FIRP) ECHO has a monthly session open to the public worth 1 credit hour of CME. They also have quarterly courses that offer CME as well.  </w:t>
      </w:r>
    </w:p>
    <w:p w14:paraId="255BE3BB" w14:textId="77777777" w:rsidR="007D6575" w:rsidRDefault="007D6575" w:rsidP="007D6575">
      <w:pPr>
        <w:pStyle w:val="xmsoplaintext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Long COVID and Fatiguing Illness Recovery Program </w:t>
      </w:r>
      <w:hyperlink r:id="rId8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2"/>
            <w:szCs w:val="22"/>
            <w:bdr w:val="none" w:sz="0" w:space="0" w:color="auto" w:frame="1"/>
          </w:rPr>
          <w:t>Quarterly Course One</w:t>
        </w:r>
      </w:hyperlink>
    </w:p>
    <w:p w14:paraId="513C3F3F" w14:textId="77777777" w:rsidR="007D6575" w:rsidRDefault="007D6575" w:rsidP="007D6575">
      <w:pPr>
        <w:pStyle w:val="xmsoplaintext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hyperlink r:id="rId9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2"/>
            <w:szCs w:val="22"/>
            <w:bdr w:val="none" w:sz="0" w:space="0" w:color="auto" w:frame="1"/>
          </w:rPr>
          <w:t>Register for the monthly public ECHO</w:t>
        </w:r>
      </w:hyperlink>
    </w:p>
    <w:p w14:paraId="0F532437" w14:textId="77777777" w:rsidR="007D6575" w:rsidRDefault="007D6575" w:rsidP="007D6575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3A0FAAC" w14:textId="77777777" w:rsidR="007D6575" w:rsidRDefault="007D6575" w:rsidP="007D657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Additional Resources:</w:t>
      </w:r>
    </w:p>
    <w:p w14:paraId="51BD3DCC" w14:textId="77777777" w:rsidR="007D6575" w:rsidRDefault="007D6575" w:rsidP="007D6575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I hope I am not sharing too many resources, or repeat resources, but I am inclined to offer the following which can serve patients and healthcare professionals in their long COVID assessment/management guidance. We reference ME/CFS in these assets, but much of this information applies to PASC.</w:t>
      </w:r>
    </w:p>
    <w:p w14:paraId="63F8A67B" w14:textId="77777777" w:rsidR="007D6575" w:rsidRDefault="007D6575" w:rsidP="007D657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Resources on the </w:t>
      </w:r>
      <w:hyperlink r:id="rId10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Long COVID/PASC page</w:t>
        </w:r>
      </w:hyperlink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>for healthcare professionals</w:t>
      </w:r>
    </w:p>
    <w:p w14:paraId="5517A1B0" w14:textId="77777777" w:rsidR="007D6575" w:rsidRDefault="007D6575" w:rsidP="007D657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rPr>
          <w:rFonts w:ascii="Calibri" w:hAnsi="Calibri" w:cs="Calibri"/>
          <w:color w:val="242424"/>
          <w:sz w:val="22"/>
          <w:szCs w:val="22"/>
        </w:rPr>
      </w:pPr>
      <w:hyperlink r:id="rId11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 xml:space="preserve">Mayo Clinic Proceedings: </w:t>
        </w:r>
        <w:proofErr w:type="spellStart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Myalgic</w:t>
        </w:r>
        <w:proofErr w:type="spellEnd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 xml:space="preserve"> Encephalomyelitis/Chronic Fatigue Syndrome Essentials of Diagnosis and Management</w:t>
        </w:r>
      </w:hyperlink>
    </w:p>
    <w:p w14:paraId="06A2B116" w14:textId="77777777" w:rsidR="007D6575" w:rsidRDefault="007D6575" w:rsidP="007D657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12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10-minute NASA Lean Test Instructions (providers)</w:t>
        </w:r>
      </w:hyperlink>
    </w:p>
    <w:p w14:paraId="2A704BCC" w14:textId="77777777" w:rsidR="007D6575" w:rsidRDefault="007D6575" w:rsidP="007D657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rPr>
          <w:rFonts w:ascii="Calibri" w:hAnsi="Calibri" w:cs="Calibri"/>
          <w:color w:val="242424"/>
          <w:sz w:val="22"/>
          <w:szCs w:val="22"/>
        </w:rPr>
      </w:pPr>
      <w:hyperlink r:id="rId13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ER and Urgent Care Considerations for ME/CFS</w:t>
        </w:r>
      </w:hyperlink>
    </w:p>
    <w:p w14:paraId="31188A6E" w14:textId="77777777" w:rsidR="007D6575" w:rsidRDefault="007D6575" w:rsidP="007D6575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14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Good/Bad Day Questionnaire</w:t>
        </w:r>
      </w:hyperlink>
      <w:r>
        <w:rPr>
          <w:rFonts w:ascii="Calibri" w:hAnsi="Calibri" w:cs="Calibri"/>
          <w:b/>
          <w:bCs/>
          <w:color w:val="666666"/>
          <w:sz w:val="22"/>
          <w:szCs w:val="22"/>
          <w:bdr w:val="none" w:sz="0" w:space="0" w:color="auto" w:frame="1"/>
        </w:rPr>
        <w:t>: </w:t>
      </w:r>
      <w:r>
        <w:rPr>
          <w:rFonts w:ascii="Calibri" w:hAnsi="Calibri" w:cs="Calibri"/>
          <w:color w:val="242424"/>
          <w:sz w:val="22"/>
          <w:szCs w:val="22"/>
        </w:rPr>
        <w:t>An effective tool in estimating impaired function is to evaluate an individual’s hours of upright activity (HUA). This accounts for time with feet on the floor,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IE: Walking, standing, and sitting. This handout helps patients quantify their HUA as it relates to their level of function on both good and bad illness days.</w:t>
      </w:r>
    </w:p>
    <w:p w14:paraId="15837614" w14:textId="77777777" w:rsidR="007D6575" w:rsidRDefault="007D6575" w:rsidP="007D65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F55A81E" w14:textId="77777777" w:rsidR="007D6575" w:rsidRDefault="007D6575" w:rsidP="007D657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The</w:t>
      </w:r>
      <w:r>
        <w:rPr>
          <w:rFonts w:ascii="Segoe UI" w:hAnsi="Segoe UI" w:cs="Segoe UI"/>
          <w:color w:val="555555"/>
          <w:sz w:val="23"/>
          <w:szCs w:val="23"/>
          <w:bdr w:val="none" w:sz="0" w:space="0" w:color="auto" w:frame="1"/>
        </w:rPr>
        <w:t> </w:t>
      </w:r>
      <w:hyperlink r:id="rId15" w:tgtFrame="_blank" w:history="1">
        <w:r>
          <w:rPr>
            <w:rStyle w:val="Hyperlink"/>
            <w:rFonts w:ascii="Segoe UI" w:hAnsi="Segoe UI" w:cs="Segoe UI"/>
            <w:b/>
            <w:bCs/>
            <w:color w:val="0563C1"/>
            <w:sz w:val="23"/>
            <w:szCs w:val="23"/>
            <w:bdr w:val="none" w:sz="0" w:space="0" w:color="auto" w:frame="1"/>
          </w:rPr>
          <w:t>ME/CFS Crash Survival Guide</w:t>
        </w:r>
      </w:hyperlink>
      <w:r>
        <w:rPr>
          <w:rFonts w:ascii="Segoe UI" w:hAnsi="Segoe UI" w:cs="Segoe UI"/>
          <w:b/>
          <w:bCs/>
          <w:color w:val="555555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is designed for the patient, their support network, and care team to:</w:t>
      </w:r>
    </w:p>
    <w:p w14:paraId="441F7258" w14:textId="77777777" w:rsidR="007D6575" w:rsidRDefault="007D6575" w:rsidP="007D6575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Understand ME/CFS and its defining characteristic of post-exertional malaise (PEM).</w:t>
      </w:r>
    </w:p>
    <w:p w14:paraId="05728618" w14:textId="77777777" w:rsidR="007D6575" w:rsidRDefault="007D6575" w:rsidP="007D6575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Help the individual prepare in advance for a crash/PEM episode, ensuring their critical needs are met.</w:t>
      </w:r>
    </w:p>
    <w:p w14:paraId="158EFE52" w14:textId="77777777" w:rsidR="007D6575" w:rsidRDefault="007D6575" w:rsidP="007D6575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Offer adaptive guidance for carrying out everyday living activities that support energy conservation with ME/CFS.</w:t>
      </w:r>
    </w:p>
    <w:p w14:paraId="5017D999" w14:textId="77777777" w:rsidR="00317CE7" w:rsidRDefault="00317CE7"/>
    <w:sectPr w:rsidR="0031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0EF"/>
    <w:multiLevelType w:val="multilevel"/>
    <w:tmpl w:val="E52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D4A10"/>
    <w:multiLevelType w:val="multilevel"/>
    <w:tmpl w:val="F5B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A5432"/>
    <w:multiLevelType w:val="multilevel"/>
    <w:tmpl w:val="96A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C511C5"/>
    <w:multiLevelType w:val="multilevel"/>
    <w:tmpl w:val="C8A4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410C44"/>
    <w:multiLevelType w:val="multilevel"/>
    <w:tmpl w:val="8FC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079EF"/>
    <w:multiLevelType w:val="multilevel"/>
    <w:tmpl w:val="3BB8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0327996">
    <w:abstractNumId w:val="2"/>
  </w:num>
  <w:num w:numId="2" w16cid:durableId="973683846">
    <w:abstractNumId w:val="1"/>
  </w:num>
  <w:num w:numId="3" w16cid:durableId="543831936">
    <w:abstractNumId w:val="3"/>
  </w:num>
  <w:num w:numId="4" w16cid:durableId="2034066790">
    <w:abstractNumId w:val="4"/>
  </w:num>
  <w:num w:numId="5" w16cid:durableId="1431970690">
    <w:abstractNumId w:val="5"/>
  </w:num>
  <w:num w:numId="6" w16cid:durableId="209697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75"/>
    <w:rsid w:val="000842C2"/>
    <w:rsid w:val="00317CE7"/>
    <w:rsid w:val="007D6575"/>
    <w:rsid w:val="00E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00E1"/>
  <w15:chartTrackingRefBased/>
  <w15:docId w15:val="{01FC9309-8AFF-4FC4-9EAB-EE43912F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7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65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hli\Downloads\2022-March_LC&amp;FIRP_Course1_Flyer.pdf" TargetMode="External"/><Relationship Id="rId13" Type="http://schemas.openxmlformats.org/officeDocument/2006/relationships/hyperlink" Target="https://us-east-2.protection.sophos.com/?d=batemanhornecenter.org&amp;u=aHR0cHM6Ly9iYXRlbWFuaG9ybmVjZW50ZXIub3JnL3dwLWNvbnRlbnQvdXBsb2Fkcy9maWxlYmFzZS9lZHVjYXRpb24vdG9wX3Jlc291cmNlcy9FUi1hbmQtVXJnZW50LUNhcmUtQ29uc2lkZXJhdGlvbnMtZm9yLU1FQ0ZTLTEuMTkuMjItMDA1LnBkZg==&amp;i=NjFiM2JmMmE1YTczMzcwZTU1NWRjNWVj&amp;t=TG9DaThaSjM0bTVOK2NQWkJxd2l3M0JWblpncEZzTm1mY0l1TWFaQnJaMD0=&amp;h=b69e29039836467796017329e37bd3b6&amp;s=AVNPUEhUT0NFTkNSWVBUSVZ_t9RYCgVkpyZ-qmZ-XDcuq7MOGmnX2vZfgTktUoBje2JnQo5l0LTplSVfEl-NK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-east-2.protection.sophos.com/?d=batemanhornecenter.org&amp;u=aHR0cHM6Ly9iYXRlbWFuaG9ybmVjZW50ZXIub3JnL3Byb3ZpZGVycy9sb25nLWNvdmlkLw==&amp;i=NjFiM2JmMmE1YTczMzcwZTU1NWRjNWVj&amp;t=clZkeUM2SGRQVzAxOW45Ny9Zd0xDOXd2bmZNTlJTai9obUpocXowOUtZRT0=&amp;h=b69e29039836467796017329e37bd3b6&amp;s=AVNPUEhUT0NFTkNSWVBUSVZ_t9RYCgVkpyZ-qmZ-XDcuq7MOGmnX2vZfgTktUoBje2JnQo5l0LTplSVfEl-NKjA" TargetMode="External"/><Relationship Id="rId12" Type="http://schemas.openxmlformats.org/officeDocument/2006/relationships/hyperlink" Target="https://us-east-2.protection.sophos.com/?d=batemanhornecenter.org&amp;u=aHR0cHM6Ly9iYXRlbWFuaG9ybmVjZW50ZXIub3JnL3dwLWNvbnRlbnQvdXBsb2Fkcy9maWxlYmFzZS9wcm92aWRlcnMvbWVjZnMvMTAtTWludXRlLU5BU0EtTGVhbi1UZXN0LUNsaW5pY2lhbi1JbnN0cnVjdGlvbnMtMDZfMjAyMS5wZGY=&amp;i=NjFiM2JmMmE1YTczMzcwZTU1NWRjNWVj&amp;t=Uy9mT21oTlFoNDlSZSszbHpGU05VVG9peWprd1pmU3ZYejU0UHE3QTdWYz0=&amp;h=b69e29039836467796017329e37bd3b6&amp;s=AVNPUEhUT0NFTkNSWVBUSVZ_t9RYCgVkpyZ-qmZ-XDcuq7MOGmnX2vZfgTktUoBje2JnQo5l0LTplSVfEl-NK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-east-2.protection.sophos.com/?d=batemanhornecenter.org&amp;u=aHR0cHM6Ly9iYXRlbWFuaG9ybmVjZW50ZXIub3JnLw==&amp;i=NjFiM2JmMmE1YTczMzcwZTU1NWRjNWVj&amp;t=M3pxTVdNZ3crNiswNnRzMzZvVGJCcEt2N29vUVZkV1JmbW81SHU1MVpvWT0=&amp;h=b69e29039836467796017329e37bd3b6&amp;s=AVNPUEhUT0NFTkNSWVBUSVZ_t9RYCgVkpyZ-qmZ-XDcuq7MOGmnX2vZfgTktUoBje2JnQo5l0LTplSVfEl-NKjA" TargetMode="External"/><Relationship Id="rId11" Type="http://schemas.openxmlformats.org/officeDocument/2006/relationships/hyperlink" Target="https://us-east-2.protection.sophos.com/?d=mayoclinicproceedings.org&amp;u=aHR0cHM6Ly93d3cubWF5b2NsaW5pY3Byb2NlZWRpbmdzLm9yZy9hcnRpY2xlL1MwMDI1LTYxOTYoMjEpMDA1MTMtOS9mdWxsdGV4dA==&amp;i=NjFiM2JmMmE1YTczMzcwZTU1NWRjNWVj&amp;t=N0hNcldvazNNbVBUL29HT3FEelBPWXJKTnFYWnF6RDJURHJEdlNqZmtuUT0=&amp;h=b69e29039836467796017329e37bd3b6&amp;s=AVNPUEhUT0NFTkNSWVBUSVZ_t9RYCgVkpyZ-qmZ-XDcuq7MOGmnX2vZfgTktUoBje2JnQo5l0LTplSVfEl-NKjA" TargetMode="External"/><Relationship Id="rId5" Type="http://schemas.openxmlformats.org/officeDocument/2006/relationships/hyperlink" Target="https://us-east-2.protection.sophos.com/?d=batemanhornecenter.org&amp;u=aHR0cHM6Ly9iYXRlbWFuaG9ybmVjZW50ZXIub3JnL3dwLWNvbnRlbnQvdXBsb2Fkcy9maWxlYmFzZS9lZHVjYXRpb24vdG9wX3Jlc291cmNlcy9IZWFsdGhjYXJlLVByb2Zlc3Npb25hbC1Db250aW51aW5nLU1lZGljYWwtRWR1Y2F0aW9uLUNNRS5wZGY=&amp;i=NjFiM2JmMmE1YTczMzcwZTU1NWRjNWVj&amp;t=ZjdCKzZrNmVsdmUyc1NhaGxlOFdJNk1IM3d0cTNESDJJTmxvbkM3NE5rOD0=&amp;h=b69e29039836467796017329e37bd3b6&amp;s=AVNPUEhUT0NFTkNSWVBUSVZ_t9RYCgVkpyZ-qmZ-XDcuq7MOGmnX2vZfgTktUoBje2JnQo5l0LTplSVfEl-NKjA" TargetMode="External"/><Relationship Id="rId15" Type="http://schemas.openxmlformats.org/officeDocument/2006/relationships/hyperlink" Target="https://us-east-2.protection.sophos.com/?d=batemanhornecenter.org&amp;u=aHR0cHM6Ly9iYXRlbWFuaG9ybmVjZW50ZXIub3JnL2VkdWNhdGlvbi9tZWNmcy1ndWlkZWJvb2sv&amp;i=NjFiM2JmMmE1YTczMzcwZTU1NWRjNWVj&amp;t=V0VJcW5zUk5Kdzl0Tm9hZWZwUG1hQVcwdndKTndxVGhnMmQ4S3pnV1dsVT0=&amp;h=b69e29039836467796017329e37bd3b6&amp;s=AVNPUEhUT0NFTkNSWVBUSVZ_t9RYCgVkpyZ-qmZ-XDcuq7MOGmnX2vZfgTktUoBje2JnQo5l0LTplSVfEl-NKjA" TargetMode="External"/><Relationship Id="rId10" Type="http://schemas.openxmlformats.org/officeDocument/2006/relationships/hyperlink" Target="https://us-east-2.protection.sophos.com/?d=batemanhornecenter.org&amp;u=aHR0cHM6Ly9iYXRlbWFuaG9ybmVjZW50ZXIub3JnL3Byb3ZpZGVycy9sb25nLWNvdmlkLw==&amp;i=NjFiM2JmMmE1YTczMzcwZTU1NWRjNWVj&amp;t=clZkeUM2SGRQVzAxOW45Ny9Zd0xDOXd2bmZNTlJTai9obUpocXowOUtZRT0=&amp;h=b69e29039836467796017329e37bd3b6&amp;s=AVNPUEhUT0NFTkNSWVBUSVZ_t9RYCgVkpyZ-qmZ-XDcuq7MOGmnX2vZfgTktUoBje2JnQo5l0LTplSVfEl-NK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-east-2.protection.sophos.com/?d=unm.edu&amp;u=aHR0cHM6Ly9oc2MudW5tLmVkdS9lY2hvL3BhcnRuZXItcG9ydGFsL2VjaG9zLWluaXRpYXRpdmVzL2xvbmctY292aWQtZmF0aWd1aW5nLWlsbG5lc3MtcmVjb3Zlcnkv&amp;i=NjFiM2JmMmE1YTczMzcwZTU1NWRjNWVj&amp;t=OXFvRGM0Si9Ja29naE9tcUxTTU5RZ2NrZzgyM29WUk5PYUZpU0tJcExsUT0=&amp;h=b69e29039836467796017329e37bd3b6&amp;s=AVNPUEhUT0NFTkNSWVBUSVZ_t9RYCgVkpyZ-qmZ-XDcuq7MOGmnX2vZfgTktUoBje2JnQo5l0LTplSVfEl-NKjA" TargetMode="External"/><Relationship Id="rId14" Type="http://schemas.openxmlformats.org/officeDocument/2006/relationships/hyperlink" Target="https://us-east-2.protection.sophos.com/?d=batemanhornecenter.org&amp;u=aHR0cHM6Ly9iYXRlbWFuaG9ybmVjZW50ZXIub3JnL3dwLWNvbnRlbnQvdXBsb2Fkcy9maWxlYmFzZS9lZHVjYXRpb24vdG9wX3Jlc291cmNlcy9Hb29kLURheS1CYWQtRGF5LVF1ZXN0aW9ubmFpcmUtRmlsbGFibGUtVjItNC5wZGY=&amp;i=NjFiM2JmMmE1YTczMzcwZTU1NWRjNWVj&amp;t=RTRoT0huOG5EaTZZcHhxcVE1bHd5bWFyQ3ZGbFVjb0ZsZFVVMitpbXRlTT0=&amp;h=b69e29039836467796017329e37bd3b6&amp;s=AVNPUEhUT0NFTkNSWVBUSVZ_t9RYCgVkpyZ-qmZ-XDcuq7MOGmnX2vZfgTktUoBje2JnQo5l0LTplSVfEl-NK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Woolsey</dc:creator>
  <cp:keywords/>
  <dc:description/>
  <cp:lastModifiedBy>Sarah Woolsey</cp:lastModifiedBy>
  <cp:revision>2</cp:revision>
  <dcterms:created xsi:type="dcterms:W3CDTF">2023-02-23T21:38:00Z</dcterms:created>
  <dcterms:modified xsi:type="dcterms:W3CDTF">2023-02-23T21:38:00Z</dcterms:modified>
</cp:coreProperties>
</file>