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95C1" w14:textId="19672518" w:rsidR="00202264" w:rsidRDefault="00EF5F61" w:rsidP="003A7EDC">
      <w:pPr>
        <w:pStyle w:val="Title"/>
      </w:pPr>
      <w:r>
        <w:t>Three-Part</w:t>
      </w:r>
      <w:r w:rsidR="0022628B">
        <w:t xml:space="preserve"> Telehealth</w:t>
      </w:r>
      <w:r>
        <w:t xml:space="preserve"> ECHO Series</w:t>
      </w:r>
    </w:p>
    <w:p w14:paraId="2506BE8C" w14:textId="1CA4A937" w:rsidR="0078346E" w:rsidRDefault="0078346E" w:rsidP="0078346E">
      <w:r>
        <w:t xml:space="preserve">University of Utah College of Nursing - </w:t>
      </w:r>
      <w:r w:rsidRPr="001C3B38">
        <w:t xml:space="preserve">Nurse Education, Practice, Quality, and Retention (NEPQR) </w:t>
      </w:r>
      <w:r w:rsidR="00664613">
        <w:t xml:space="preserve"> </w:t>
      </w:r>
    </w:p>
    <w:p w14:paraId="00700D3F" w14:textId="0A46D170" w:rsidR="00202264" w:rsidRPr="003A7EDC" w:rsidRDefault="00EF5F61" w:rsidP="003A7EDC">
      <w:pPr>
        <w:pStyle w:val="Heading1"/>
      </w:pPr>
      <w:r>
        <w:t>Overall Structure and Delivery</w:t>
      </w:r>
    </w:p>
    <w:p w14:paraId="6BCAF21C" w14:textId="630DCE22" w:rsidR="00EF5F61" w:rsidRDefault="00EF5F61" w:rsidP="00EF5F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 will deliver three 75-minute ECHO sessions to cover a full range of telehealth topics</w:t>
      </w:r>
      <w:r w:rsidR="001D1F63">
        <w:rPr>
          <w:rStyle w:val="normaltextrun"/>
          <w:rFonts w:ascii="Calibri" w:hAnsi="Calibri" w:cs="Calibri"/>
          <w:sz w:val="22"/>
          <w:szCs w:val="22"/>
        </w:rPr>
        <w:t xml:space="preserve"> for the primary care setting</w:t>
      </w:r>
      <w:r>
        <w:rPr>
          <w:rStyle w:val="normaltextrun"/>
          <w:rFonts w:ascii="Calibri" w:hAnsi="Calibri" w:cs="Calibri"/>
          <w:sz w:val="22"/>
          <w:szCs w:val="22"/>
        </w:rPr>
        <w:t>. Case studies and improvement science will be included in all sessions. In keeping with the ECHO model, sessions will begin with 20-30 minutes of didactic followed by at least one case presentation, wrapping up with a subject matter expert (preferably one working in and with telehealth) and discussion among participants.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5629CB" w14:textId="1864FD5F" w:rsidR="00D32312" w:rsidRDefault="00D32312" w:rsidP="00EF5F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3FE346" w14:textId="21B7DDE3" w:rsidR="001D1F63" w:rsidRDefault="00EF5F61" w:rsidP="00EF5F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Sessions will be designed with audience engagement and participation in mind. </w:t>
      </w:r>
      <w:r w:rsidR="00EA038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Relevant resources, tools and key takeaways will be sent post-session</w:t>
      </w:r>
      <w:r w:rsidR="00D3231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D4E10E6" w14:textId="77777777" w:rsidR="00A515D0" w:rsidRDefault="00AF7EDA" w:rsidP="00181473">
      <w:pPr>
        <w:pStyle w:val="Heading1"/>
        <w:rPr>
          <w:color w:val="auto"/>
        </w:rPr>
      </w:pPr>
      <w:bookmarkStart w:id="0" w:name="_Hlk36816534"/>
      <w:bookmarkStart w:id="1" w:name="_Hlk54939109"/>
      <w:r>
        <w:rPr>
          <w:color w:val="auto"/>
        </w:rPr>
        <w:t>First ECHO Session</w:t>
      </w:r>
      <w:bookmarkEnd w:id="1"/>
    </w:p>
    <w:p w14:paraId="77E4E347" w14:textId="6CE737A1" w:rsidR="00181473" w:rsidRPr="00976425" w:rsidRDefault="00181473" w:rsidP="00181473">
      <w:pPr>
        <w:pStyle w:val="Heading1"/>
        <w:rPr>
          <w:color w:val="69BE46"/>
        </w:rPr>
      </w:pPr>
      <w:r w:rsidRPr="00976425">
        <w:rPr>
          <w:color w:val="69BE46"/>
        </w:rPr>
        <w:t>Telemedicine and Virtual Services to Enhance Access and Improve Care</w:t>
      </w:r>
    </w:p>
    <w:p w14:paraId="5AE67DEB" w14:textId="5FA607F8" w:rsidR="004D3C6A" w:rsidRPr="00976425" w:rsidRDefault="00A23D8A" w:rsidP="00877DBC">
      <w:pPr>
        <w:rPr>
          <w:rFonts w:cstheme="minorHAnsi"/>
          <w:sz w:val="24"/>
          <w:szCs w:val="24"/>
        </w:rPr>
      </w:pPr>
      <w:r w:rsidRPr="00976425">
        <w:rPr>
          <w:rStyle w:val="normaltextrun"/>
          <w:rFonts w:cstheme="minorHAnsi"/>
          <w:sz w:val="24"/>
          <w:szCs w:val="24"/>
        </w:rPr>
        <w:t>J</w:t>
      </w:r>
      <w:r w:rsidR="00F31F65" w:rsidRPr="00976425">
        <w:rPr>
          <w:rStyle w:val="normaltextrun"/>
          <w:rFonts w:cstheme="minorHAnsi"/>
          <w:sz w:val="24"/>
          <w:szCs w:val="24"/>
        </w:rPr>
        <w:t xml:space="preserve">oin us for a deep dive into practical strategies to leverage telemedicine and virtual services to enhance access and improve </w:t>
      </w:r>
      <w:r w:rsidR="00071913" w:rsidRPr="00976425">
        <w:rPr>
          <w:rStyle w:val="normaltextrun"/>
          <w:rFonts w:cstheme="minorHAnsi"/>
          <w:sz w:val="24"/>
          <w:szCs w:val="24"/>
        </w:rPr>
        <w:t>health care delivery</w:t>
      </w:r>
      <w:r w:rsidR="00F31F65" w:rsidRPr="00976425">
        <w:rPr>
          <w:rStyle w:val="normaltextrun"/>
          <w:rFonts w:cstheme="minorHAnsi"/>
          <w:sz w:val="24"/>
          <w:szCs w:val="24"/>
        </w:rPr>
        <w:t xml:space="preserve"> in the primary care setting.</w:t>
      </w:r>
      <w:r w:rsidR="00071913" w:rsidRPr="00976425">
        <w:rPr>
          <w:rStyle w:val="normaltextrun"/>
          <w:rFonts w:cstheme="minorHAnsi"/>
          <w:sz w:val="24"/>
          <w:szCs w:val="24"/>
        </w:rPr>
        <w:t xml:space="preserve"> </w:t>
      </w:r>
      <w:r w:rsidR="00181473" w:rsidRPr="00976425">
        <w:rPr>
          <w:rFonts w:cstheme="minorHAnsi"/>
          <w:sz w:val="24"/>
          <w:szCs w:val="24"/>
        </w:rPr>
        <w:t xml:space="preserve">This ECHO session </w:t>
      </w:r>
      <w:r w:rsidR="00421868" w:rsidRPr="00976425">
        <w:rPr>
          <w:rFonts w:cstheme="minorHAnsi"/>
          <w:sz w:val="24"/>
          <w:szCs w:val="24"/>
        </w:rPr>
        <w:t>includes</w:t>
      </w:r>
      <w:r w:rsidR="00071913" w:rsidRPr="00976425">
        <w:rPr>
          <w:rFonts w:cstheme="minorHAnsi"/>
          <w:sz w:val="24"/>
          <w:szCs w:val="24"/>
        </w:rPr>
        <w:t xml:space="preserve"> a case study, ample opportu</w:t>
      </w:r>
      <w:r w:rsidR="00877DBC" w:rsidRPr="00976425">
        <w:rPr>
          <w:rFonts w:cstheme="minorHAnsi"/>
          <w:sz w:val="24"/>
          <w:szCs w:val="24"/>
        </w:rPr>
        <w:t>nities for discussion</w:t>
      </w:r>
      <w:r w:rsidR="00E83B01" w:rsidRPr="00976425">
        <w:rPr>
          <w:rFonts w:cstheme="minorHAnsi"/>
          <w:sz w:val="24"/>
          <w:szCs w:val="24"/>
        </w:rPr>
        <w:t>, and must-know information and clarifications</w:t>
      </w:r>
      <w:r w:rsidR="00123615" w:rsidRPr="00976425">
        <w:rPr>
          <w:rFonts w:cstheme="minorHAnsi"/>
          <w:sz w:val="24"/>
          <w:szCs w:val="24"/>
        </w:rPr>
        <w:t xml:space="preserve"> to ensure successful and sustained remote service</w:t>
      </w:r>
      <w:r w:rsidRPr="00976425">
        <w:rPr>
          <w:rFonts w:cstheme="minorHAnsi"/>
          <w:sz w:val="24"/>
          <w:szCs w:val="24"/>
        </w:rPr>
        <w:t xml:space="preserve"> delivery</w:t>
      </w:r>
      <w:r w:rsidR="00C64906" w:rsidRPr="00976425">
        <w:rPr>
          <w:rFonts w:cstheme="minorHAnsi"/>
          <w:sz w:val="24"/>
          <w:szCs w:val="24"/>
        </w:rPr>
        <w:t>.</w:t>
      </w:r>
      <w:r w:rsidR="008526A0" w:rsidRPr="00976425">
        <w:rPr>
          <w:rFonts w:cstheme="minorHAnsi"/>
          <w:sz w:val="24"/>
          <w:szCs w:val="24"/>
        </w:rPr>
        <w:t xml:space="preserve"> </w:t>
      </w:r>
      <w:r w:rsidR="008F3B51" w:rsidRPr="00976425">
        <w:rPr>
          <w:rFonts w:cstheme="minorHAnsi"/>
          <w:sz w:val="24"/>
          <w:szCs w:val="24"/>
        </w:rPr>
        <w:t xml:space="preserve">For this session, we look through the lens of the </w:t>
      </w:r>
      <w:r w:rsidR="003719C3" w:rsidRPr="00976425">
        <w:rPr>
          <w:rFonts w:cstheme="minorHAnsi"/>
          <w:sz w:val="24"/>
          <w:szCs w:val="24"/>
        </w:rPr>
        <w:t>supporting role of the nurse in delivery of this modality of health care.</w:t>
      </w:r>
    </w:p>
    <w:p w14:paraId="467DF507" w14:textId="5D2A3E22" w:rsidR="00D82012" w:rsidRPr="00D82012" w:rsidRDefault="00D82012" w:rsidP="00D82012">
      <w:pPr>
        <w:pStyle w:val="Heading2"/>
      </w:pPr>
      <w:r w:rsidRPr="00D82012">
        <w:t>Learning and session objectives: </w:t>
      </w:r>
    </w:p>
    <w:p w14:paraId="43E25239" w14:textId="5D9DF8DC" w:rsidR="00877DBC" w:rsidRPr="00ED306E" w:rsidRDefault="00877DBC" w:rsidP="00ED306E">
      <w:pPr>
        <w:pStyle w:val="ListParagraph"/>
        <w:numPr>
          <w:ilvl w:val="0"/>
          <w:numId w:val="11"/>
        </w:numPr>
        <w:rPr>
          <w:color w:val="auto"/>
        </w:rPr>
      </w:pPr>
      <w:r w:rsidRPr="00ED306E">
        <w:rPr>
          <w:color w:val="auto"/>
        </w:rPr>
        <w:t>Articulate the difference between telehealth and virtual services </w:t>
      </w:r>
    </w:p>
    <w:p w14:paraId="5C793A15" w14:textId="3ACE9FC0" w:rsidR="00877DBC" w:rsidRPr="00ED306E" w:rsidRDefault="00877DBC" w:rsidP="00ED306E">
      <w:pPr>
        <w:pStyle w:val="ListParagraph"/>
        <w:numPr>
          <w:ilvl w:val="0"/>
          <w:numId w:val="11"/>
        </w:numPr>
        <w:rPr>
          <w:color w:val="auto"/>
        </w:rPr>
      </w:pPr>
      <w:r w:rsidRPr="00ED306E">
        <w:rPr>
          <w:color w:val="auto"/>
        </w:rPr>
        <w:t>Appreciate the full range of remote services for health care service delivery in the primary care setting, including</w:t>
      </w:r>
      <w:r w:rsidR="00962EA3" w:rsidRPr="00ED306E">
        <w:rPr>
          <w:color w:val="auto"/>
        </w:rPr>
        <w:t xml:space="preserve"> </w:t>
      </w:r>
      <w:r w:rsidRPr="00ED306E">
        <w:rPr>
          <w:color w:val="auto"/>
        </w:rPr>
        <w:t>for FQHCs and RHCs</w:t>
      </w:r>
    </w:p>
    <w:p w14:paraId="7A56D9CD" w14:textId="7C3650D8" w:rsidR="00D82012" w:rsidRPr="00ED306E" w:rsidRDefault="00D82012" w:rsidP="00ED306E">
      <w:pPr>
        <w:pStyle w:val="ListParagraph"/>
        <w:numPr>
          <w:ilvl w:val="0"/>
          <w:numId w:val="11"/>
        </w:numPr>
        <w:rPr>
          <w:color w:val="auto"/>
        </w:rPr>
      </w:pPr>
      <w:r w:rsidRPr="00ED306E">
        <w:rPr>
          <w:color w:val="auto"/>
        </w:rPr>
        <w:t>Make the case for telehealth and virtual service to sustainably achieve the quadruple aim </w:t>
      </w:r>
    </w:p>
    <w:p w14:paraId="352727F5" w14:textId="6E938D6F" w:rsidR="00877DBC" w:rsidRPr="00ED306E" w:rsidRDefault="00877DBC" w:rsidP="00ED306E">
      <w:pPr>
        <w:pStyle w:val="ListParagraph"/>
        <w:numPr>
          <w:ilvl w:val="0"/>
          <w:numId w:val="11"/>
        </w:numPr>
        <w:rPr>
          <w:color w:val="auto"/>
        </w:rPr>
      </w:pPr>
      <w:r w:rsidRPr="00ED306E">
        <w:rPr>
          <w:color w:val="auto"/>
        </w:rPr>
        <w:t>Embed improvement science in your telehealth journey</w:t>
      </w:r>
    </w:p>
    <w:p w14:paraId="5DD92DDC" w14:textId="3F73FFBC" w:rsidR="00181473" w:rsidRPr="00976425" w:rsidRDefault="00181473" w:rsidP="00181473">
      <w:pPr>
        <w:pStyle w:val="ListParagraph"/>
        <w:spacing w:after="0"/>
        <w:rPr>
          <w:rFonts w:cstheme="minorHAnsi"/>
          <w:sz w:val="24"/>
          <w:szCs w:val="24"/>
        </w:rPr>
      </w:pPr>
    </w:p>
    <w:p w14:paraId="6FC13087" w14:textId="4A6EBDD3" w:rsidR="00181473" w:rsidRPr="00976425" w:rsidRDefault="00181473" w:rsidP="00181473">
      <w:pPr>
        <w:rPr>
          <w:rFonts w:cstheme="minorHAnsi"/>
          <w:b/>
          <w:bCs/>
          <w:sz w:val="24"/>
          <w:szCs w:val="24"/>
        </w:rPr>
      </w:pPr>
      <w:r w:rsidRPr="00976425">
        <w:rPr>
          <w:rFonts w:cstheme="minorHAnsi"/>
          <w:sz w:val="24"/>
          <w:szCs w:val="24"/>
        </w:rPr>
        <w:t xml:space="preserve">Join us </w:t>
      </w:r>
      <w:r w:rsidR="00B70D53" w:rsidRPr="00976425">
        <w:rPr>
          <w:rFonts w:cstheme="minorHAnsi"/>
          <w:b/>
          <w:bCs/>
          <w:sz w:val="24"/>
          <w:szCs w:val="24"/>
        </w:rPr>
        <w:t xml:space="preserve">Thursday </w:t>
      </w:r>
      <w:r w:rsidR="00E6093F" w:rsidRPr="00976425">
        <w:rPr>
          <w:rFonts w:cstheme="minorHAnsi"/>
          <w:b/>
          <w:bCs/>
          <w:sz w:val="24"/>
          <w:szCs w:val="24"/>
        </w:rPr>
        <w:t xml:space="preserve">November 19, </w:t>
      </w:r>
      <w:r w:rsidRPr="00976425">
        <w:rPr>
          <w:rFonts w:cstheme="minorHAnsi"/>
          <w:b/>
          <w:bCs/>
          <w:sz w:val="24"/>
          <w:szCs w:val="24"/>
        </w:rPr>
        <w:t xml:space="preserve">2020 from Noon to 1:15 p.m. MT. </w:t>
      </w:r>
    </w:p>
    <w:p w14:paraId="616FA28D" w14:textId="32656759" w:rsidR="00181473" w:rsidRDefault="00181473" w:rsidP="00181473">
      <w:pPr>
        <w:spacing w:after="0"/>
        <w:rPr>
          <w:rStyle w:val="Hyperlink"/>
        </w:rPr>
      </w:pPr>
      <w:r w:rsidRPr="00C4469A">
        <w:rPr>
          <w:rFonts w:cstheme="minorHAnsi"/>
          <w:b/>
          <w:bCs/>
          <w:sz w:val="24"/>
          <w:szCs w:val="24"/>
        </w:rPr>
        <w:t>Register here:</w:t>
      </w:r>
      <w:r w:rsidRPr="00C4469A">
        <w:rPr>
          <w:rFonts w:cstheme="minorHAnsi"/>
          <w:sz w:val="24"/>
          <w:szCs w:val="24"/>
        </w:rPr>
        <w:t xml:space="preserve"> </w:t>
      </w:r>
      <w:hyperlink r:id="rId10" w:history="1">
        <w:r w:rsidR="00C4469A">
          <w:rPr>
            <w:rStyle w:val="Hyperlink"/>
          </w:rPr>
          <w:t>https://comaginehealth.zoom.us/meeting/register/tJ0qdeCsrjMpG9fnRR4DQAq9Dh_GP3rHPcf0</w:t>
        </w:r>
      </w:hyperlink>
    </w:p>
    <w:p w14:paraId="773A9AA5" w14:textId="77777777" w:rsidR="004D1CE1" w:rsidRDefault="004D1CE1" w:rsidP="00181473">
      <w:pPr>
        <w:spacing w:after="0"/>
        <w:rPr>
          <w:rStyle w:val="Hyperlink"/>
        </w:rPr>
      </w:pPr>
    </w:p>
    <w:p w14:paraId="1665AC4E" w14:textId="7F8CA69C" w:rsidR="004D1CE1" w:rsidRDefault="004D1CE1" w:rsidP="00181473">
      <w:pPr>
        <w:spacing w:after="0"/>
        <w:rPr>
          <w:rStyle w:val="Hyperlink"/>
        </w:rPr>
      </w:pPr>
      <w:r w:rsidRPr="004D1CE1">
        <w:rPr>
          <w:rFonts w:eastAsiaTheme="minorEastAsia"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2BECC" wp14:editId="369D6513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115050" cy="8636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C5C05" w14:textId="77777777" w:rsidR="004D1CE1" w:rsidRDefault="004D1CE1" w:rsidP="004D1CE1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Comagine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Health is accredited by the New Mexico Medical Society to provide continuing medical education for physicians. </w:t>
                            </w:r>
                            <w:proofErr w:type="spellStart"/>
                            <w:r>
                              <w:t>Comagine</w:t>
                            </w:r>
                            <w:proofErr w:type="spellEnd"/>
                            <w:r>
                              <w:t xml:space="preserve"> Health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designates this [Live ECHO Session] for maximum of [1.25] AMA PRA Category 1 Credit(s) 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tm</w:t>
                            </w:r>
                            <w:r>
                              <w:rPr>
                                <w:i/>
                                <w:iCs/>
                              </w:rPr>
                              <w:t>. Physicians should claim only the credit commensurate with the extent of their participation in the activity.</w:t>
                            </w:r>
                          </w:p>
                          <w:p w14:paraId="27730655" w14:textId="77777777" w:rsidR="004D1CE1" w:rsidRDefault="004D1CE1" w:rsidP="004D1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2BE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5pt;width:481.5pt;height:6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" fillcolor="window" strokeweight=".5pt">
                <v:textbox>
                  <w:txbxContent>
                    <w:p w14:paraId="574C5C05" w14:textId="77777777" w:rsidR="004D1CE1" w:rsidRDefault="004D1CE1" w:rsidP="004D1CE1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Comagine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Health is accredited by the New Mexico Medical Society to provide continuing medical education for physicians. </w:t>
                      </w:r>
                      <w:proofErr w:type="spellStart"/>
                      <w:r>
                        <w:t>Comagine</w:t>
                      </w:r>
                      <w:proofErr w:type="spellEnd"/>
                      <w:r>
                        <w:t xml:space="preserve"> Health</w:t>
                      </w:r>
                      <w:r>
                        <w:rPr>
                          <w:i/>
                          <w:iCs/>
                        </w:rPr>
                        <w:t xml:space="preserve"> designates this [Live ECHO Session] for maximum of [1.25] AMA PRA Category 1 Credit(s) </w:t>
                      </w:r>
                      <w:r>
                        <w:rPr>
                          <w:i/>
                          <w:iCs/>
                          <w:vertAlign w:val="superscript"/>
                        </w:rPr>
                        <w:t>tm</w:t>
                      </w:r>
                      <w:r>
                        <w:rPr>
                          <w:i/>
                          <w:iCs/>
                        </w:rPr>
                        <w:t>. Physicians should claim only the credit commensurate with the extent of their participation in the activity.</w:t>
                      </w:r>
                    </w:p>
                    <w:p w14:paraId="27730655" w14:textId="77777777" w:rsidR="004D1CE1" w:rsidRDefault="004D1CE1" w:rsidP="004D1CE1"/>
                  </w:txbxContent>
                </v:textbox>
                <w10:wrap anchorx="margin"/>
              </v:shape>
            </w:pict>
          </mc:Fallback>
        </mc:AlternateContent>
      </w:r>
    </w:p>
    <w:p w14:paraId="7BE2F2BE" w14:textId="15062D9D" w:rsidR="004D1CE1" w:rsidRDefault="004D1CE1" w:rsidP="00181473">
      <w:pPr>
        <w:spacing w:after="0"/>
        <w:rPr>
          <w:rStyle w:val="Hyperlink"/>
        </w:rPr>
      </w:pPr>
    </w:p>
    <w:p w14:paraId="3E438EEE" w14:textId="1F3C0F44" w:rsidR="004D1CE1" w:rsidRPr="009F26ED" w:rsidRDefault="004D1CE1" w:rsidP="00181473">
      <w:pPr>
        <w:spacing w:after="0"/>
        <w:rPr>
          <w:rFonts w:cstheme="minorHAnsi"/>
          <w:sz w:val="24"/>
          <w:szCs w:val="24"/>
        </w:rPr>
      </w:pPr>
    </w:p>
    <w:p w14:paraId="12BBF0A3" w14:textId="7F061946" w:rsidR="00181473" w:rsidRDefault="00181473" w:rsidP="00181473">
      <w:pPr>
        <w:spacing w:after="0"/>
        <w:rPr>
          <w:rFonts w:cstheme="minorHAnsi"/>
          <w:sz w:val="24"/>
          <w:szCs w:val="24"/>
        </w:rPr>
      </w:pPr>
    </w:p>
    <w:p w14:paraId="280492A2" w14:textId="77777777" w:rsidR="00966398" w:rsidRPr="009F26ED" w:rsidRDefault="00966398" w:rsidP="00181473">
      <w:pPr>
        <w:spacing w:after="0"/>
        <w:rPr>
          <w:rFonts w:cstheme="minorHAnsi"/>
          <w:sz w:val="24"/>
          <w:szCs w:val="24"/>
        </w:rPr>
      </w:pPr>
    </w:p>
    <w:p w14:paraId="72008ABF" w14:textId="5B166DCF" w:rsidR="00EF5F61" w:rsidRDefault="00181473" w:rsidP="00204E94">
      <w:pPr>
        <w:rPr>
          <w:rFonts w:ascii="Arial" w:eastAsiaTheme="majorEastAsia" w:hAnsi="Arial" w:cstheme="majorBidi"/>
          <w:b/>
          <w:color w:val="69BE46"/>
          <w:sz w:val="28"/>
          <w:szCs w:val="32"/>
        </w:rPr>
      </w:pPr>
      <w:r w:rsidRPr="009F26ED">
        <w:rPr>
          <w:rFonts w:cstheme="minorHAnsi"/>
          <w:sz w:val="24"/>
          <w:szCs w:val="24"/>
        </w:rPr>
        <w:t xml:space="preserve">For more information contact Trudy Bearden at </w:t>
      </w:r>
      <w:hyperlink r:id="rId11" w:history="1">
        <w:r w:rsidRPr="009F26ED">
          <w:rPr>
            <w:rStyle w:val="Hyperlink"/>
            <w:rFonts w:cstheme="minorHAnsi"/>
            <w:sz w:val="24"/>
            <w:szCs w:val="24"/>
          </w:rPr>
          <w:t>tbearden@comagine.org</w:t>
        </w:r>
      </w:hyperlink>
      <w:r w:rsidRPr="009F26ED">
        <w:rPr>
          <w:rFonts w:cstheme="minorHAnsi"/>
          <w:sz w:val="24"/>
          <w:szCs w:val="24"/>
        </w:rPr>
        <w:t xml:space="preserve"> </w:t>
      </w:r>
      <w:bookmarkEnd w:id="0"/>
    </w:p>
    <w:p w14:paraId="5AB9A054" w14:textId="040F78F4" w:rsidR="00AF7EDA" w:rsidRPr="00976425" w:rsidRDefault="00AF7EDA" w:rsidP="00AF7EDA">
      <w:pPr>
        <w:pStyle w:val="Heading1"/>
        <w:rPr>
          <w:color w:val="auto"/>
        </w:rPr>
      </w:pPr>
      <w:r>
        <w:rPr>
          <w:color w:val="auto"/>
        </w:rPr>
        <w:lastRenderedPageBreak/>
        <w:t>Second ECHO Session</w:t>
      </w:r>
    </w:p>
    <w:p w14:paraId="38D29523" w14:textId="5D094E0F" w:rsidR="00EF5F61" w:rsidRPr="001D1F63" w:rsidRDefault="00EF5F61" w:rsidP="00D32312">
      <w:pPr>
        <w:pStyle w:val="Heading1"/>
        <w:rPr>
          <w:color w:val="69BE46"/>
        </w:rPr>
      </w:pPr>
      <w:r w:rsidRPr="001D1F63">
        <w:rPr>
          <w:color w:val="69BE46"/>
        </w:rPr>
        <w:t>Mastering the Techno-Human Aspects of a Telehealth Visit </w:t>
      </w:r>
    </w:p>
    <w:p w14:paraId="14DB44FA" w14:textId="1B7ECDD4" w:rsidR="00B738AB" w:rsidRDefault="00B738AB" w:rsidP="00B738AB">
      <w:pPr>
        <w:spacing w:after="0" w:line="240" w:lineRule="auto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D</w:t>
      </w:r>
      <w:r w:rsidRPr="067A7A3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ate: </w:t>
      </w:r>
      <w:r w:rsidR="3C2F7B60" w:rsidRPr="067A7A3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Dec 8</w:t>
      </w:r>
      <w:r w:rsidRPr="067A7A3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, 202</w:t>
      </w:r>
      <w:r w:rsidR="43D8587A" w:rsidRPr="067A7A3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0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3155934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Noon – 1:15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pm</w:t>
      </w:r>
    </w:p>
    <w:p w14:paraId="057A46C2" w14:textId="6F48443E" w:rsidR="00B738AB" w:rsidRDefault="00B738AB" w:rsidP="00D32312">
      <w:pPr>
        <w:rPr>
          <w:rStyle w:val="Heading2Char"/>
        </w:rPr>
      </w:pPr>
    </w:p>
    <w:p w14:paraId="606AD6BA" w14:textId="626542A3" w:rsidR="00D32312" w:rsidRDefault="00D32312" w:rsidP="00D32312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EF5F61">
        <w:rPr>
          <w:rStyle w:val="Heading2Char"/>
        </w:rPr>
        <w:t>Session description: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During this session, we will discuss and highlight best practices for interacting with and leveraging the technology in ways that are person-centered for both staff and patients alike.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Attendees will also consider the key elements of team-based approaches to telehealth, focusing on the role of the nurse.</w:t>
      </w:r>
      <w:r w:rsidR="00034354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03435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target audience for this session includes any staff at in the outpatient setting that is likely to support or participate in telehealth or virtual service delivery. </w:t>
      </w:r>
      <w:r w:rsidR="000176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Patients, families and caregivers may be invited to this session. </w:t>
      </w:r>
      <w:r w:rsidR="00034354">
        <w:rPr>
          <w:rStyle w:val="normaltextrun"/>
          <w:rFonts w:ascii="Calibri" w:hAnsi="Calibri" w:cs="Calibri"/>
          <w:color w:val="000000"/>
          <w:shd w:val="clear" w:color="auto" w:fill="FFFFFF"/>
        </w:rPr>
        <w:t>However, the session is focused on elevating role of the nurse in delivering high quality remote health care services.</w:t>
      </w:r>
    </w:p>
    <w:p w14:paraId="7DBC7D40" w14:textId="297BE40A" w:rsidR="00D32312" w:rsidRPr="00CC1C36" w:rsidRDefault="00D32312" w:rsidP="00A15CD7">
      <w:pPr>
        <w:pStyle w:val="Heading2"/>
        <w:rPr>
          <w:rFonts w:eastAsia="Times New Roman"/>
        </w:rPr>
      </w:pPr>
      <w:r w:rsidRPr="00EF5F61">
        <w:rPr>
          <w:rFonts w:eastAsia="Times New Roman"/>
        </w:rPr>
        <w:t>Learning and session objectives: </w:t>
      </w:r>
    </w:p>
    <w:p w14:paraId="01B033A3" w14:textId="59B15A5C" w:rsidR="00EF5F61" w:rsidRPr="00D32312" w:rsidRDefault="00EF5F61" w:rsidP="00D32312">
      <w:pPr>
        <w:pStyle w:val="ListParagraph"/>
        <w:numPr>
          <w:ilvl w:val="0"/>
          <w:numId w:val="1"/>
        </w:numPr>
      </w:pPr>
      <w:r w:rsidRPr="00D32312">
        <w:t>Walk through a telehealth visit from scheduling to follow-up, capturing best practices </w:t>
      </w:r>
    </w:p>
    <w:p w14:paraId="5FB9B879" w14:textId="2A403E21" w:rsidR="00EF5F61" w:rsidRPr="00D32312" w:rsidRDefault="00EF5F61" w:rsidP="00D32312">
      <w:pPr>
        <w:pStyle w:val="ListParagraph"/>
        <w:numPr>
          <w:ilvl w:val="0"/>
          <w:numId w:val="1"/>
        </w:numPr>
      </w:pPr>
      <w:r w:rsidRPr="00D32312">
        <w:t>Explore leverage points for nurses to optimize </w:t>
      </w:r>
      <w:r w:rsidR="001D1F63">
        <w:t>key elements of the telehealth visit from initiation</w:t>
      </w:r>
      <w:r w:rsidR="0022628B">
        <w:t>, patient preparation</w:t>
      </w:r>
      <w:r w:rsidR="001D1F63">
        <w:t xml:space="preserve"> and documentation to care plans and effective/safe communication</w:t>
      </w:r>
    </w:p>
    <w:p w14:paraId="72E6E601" w14:textId="727F1DBF" w:rsidR="00EF5F61" w:rsidRPr="00D32312" w:rsidRDefault="00EF5F61" w:rsidP="00D32312">
      <w:pPr>
        <w:pStyle w:val="ListParagraph"/>
        <w:numPr>
          <w:ilvl w:val="0"/>
          <w:numId w:val="1"/>
        </w:numPr>
      </w:pPr>
      <w:r w:rsidRPr="00D32312">
        <w:t>List best practices to ensure</w:t>
      </w:r>
      <w:r w:rsidR="001D1F63">
        <w:t xml:space="preserve"> </w:t>
      </w:r>
      <w:r w:rsidRPr="00D32312">
        <w:t>safety, quality and patient/staff experience</w:t>
      </w:r>
    </w:p>
    <w:p w14:paraId="1F12A25C" w14:textId="3DBDEF76" w:rsidR="00EF5F61" w:rsidRDefault="007C0C7E" w:rsidP="00D32312">
      <w:pPr>
        <w:pStyle w:val="ListParagraph"/>
        <w:numPr>
          <w:ilvl w:val="0"/>
          <w:numId w:val="1"/>
        </w:numPr>
      </w:pPr>
      <w:r>
        <w:t xml:space="preserve">Consider strategies to leverage telehealth </w:t>
      </w:r>
      <w:r w:rsidR="00217F03">
        <w:t>to optimize population health management (in-reach and outreach)</w:t>
      </w:r>
    </w:p>
    <w:p w14:paraId="5E8C1CC8" w14:textId="77777777" w:rsidR="00A1712C" w:rsidRPr="00A1712C" w:rsidRDefault="00A1712C" w:rsidP="00A1712C"/>
    <w:p w14:paraId="70A51A6C" w14:textId="78D8E0C6" w:rsidR="00A1712C" w:rsidRPr="00976425" w:rsidRDefault="00DE1AED" w:rsidP="00A1712C">
      <w:pPr>
        <w:pStyle w:val="Heading1"/>
        <w:rPr>
          <w:color w:val="auto"/>
        </w:rPr>
      </w:pPr>
      <w:r>
        <w:rPr>
          <w:color w:val="auto"/>
        </w:rPr>
        <w:t>Third</w:t>
      </w:r>
      <w:r w:rsidR="00A1712C">
        <w:rPr>
          <w:color w:val="auto"/>
        </w:rPr>
        <w:t xml:space="preserve"> ECHO Session</w:t>
      </w:r>
    </w:p>
    <w:p w14:paraId="1C34BCAC" w14:textId="4039187F" w:rsidR="001D1F63" w:rsidRPr="001D1F63" w:rsidRDefault="001D1F63" w:rsidP="001D1F63">
      <w:pPr>
        <w:pStyle w:val="Heading1"/>
        <w:rPr>
          <w:color w:val="69BE46"/>
        </w:rPr>
      </w:pPr>
      <w:r w:rsidRPr="001D1F63">
        <w:rPr>
          <w:color w:val="69BE46"/>
        </w:rPr>
        <w:t>T</w:t>
      </w:r>
      <w:r w:rsidR="008F5F06">
        <w:rPr>
          <w:color w:val="69BE46"/>
        </w:rPr>
        <w:t>he Nuts and Bolts of Telehealth Regulations, Billing and Revenue Capture</w:t>
      </w:r>
    </w:p>
    <w:p w14:paraId="44073643" w14:textId="7A2B4C2D" w:rsidR="4BB262A0" w:rsidRDefault="4BB262A0" w:rsidP="1AC08964">
      <w:pPr>
        <w:spacing w:after="0" w:line="240" w:lineRule="auto"/>
        <w:rPr>
          <w:rStyle w:val="normaltextrun"/>
          <w:rFonts w:ascii="Calibri" w:hAnsi="Calibri" w:cs="Calibri"/>
          <w:b/>
          <w:bCs/>
        </w:rPr>
      </w:pPr>
      <w:r w:rsidRPr="1AC08964">
        <w:rPr>
          <w:rStyle w:val="normaltextrun"/>
          <w:rFonts w:ascii="Calibri" w:hAnsi="Calibri" w:cs="Calibri"/>
          <w:b/>
          <w:bCs/>
        </w:rPr>
        <w:t>Date: Jan 14, 2021 Noon – 1:15 pm</w:t>
      </w:r>
    </w:p>
    <w:p w14:paraId="5E9181A1" w14:textId="01CFF697" w:rsidR="005B0F5D" w:rsidRDefault="005B0F5D" w:rsidP="005B0F5D">
      <w:pPr>
        <w:spacing w:after="0" w:line="240" w:lineRule="auto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09ED16A9" w14:textId="0011D2DA" w:rsidR="001D1F63" w:rsidRDefault="001D1F63" w:rsidP="001D1F63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EF5F61">
        <w:rPr>
          <w:rStyle w:val="Heading2Char"/>
        </w:rPr>
        <w:t>Session description: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During this session, we will </w:t>
      </w:r>
      <w:r w:rsidR="008F5F0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provide a broad overview of relevant telehealth regulations, billing and revenue capture, recognizing the important role nurses can play in helping their health care organization successfully comply with regulations and ensure solvency. </w:t>
      </w:r>
      <w:r w:rsidR="000176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target audience for this session includes any staff at in the outpatient setting that is likely to support or participate in telehealth or virtual service delivery. Those involved </w:t>
      </w:r>
      <w:r w:rsidR="00816ED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or interested in the revenue capture aspects of remote health care service delivery may benefit with attending this session. </w:t>
      </w:r>
      <w:r w:rsidR="00017632">
        <w:rPr>
          <w:rStyle w:val="normaltextrun"/>
          <w:rFonts w:ascii="Calibri" w:hAnsi="Calibri" w:cs="Calibri"/>
          <w:color w:val="000000"/>
          <w:shd w:val="clear" w:color="auto" w:fill="FFFFFF"/>
        </w:rPr>
        <w:t>However, the session is focused on elevating role of the nurse in delivering high quality remote health care services.</w:t>
      </w:r>
    </w:p>
    <w:p w14:paraId="678AF608" w14:textId="0E58E5B5" w:rsidR="001D1F63" w:rsidRPr="00EF5F61" w:rsidRDefault="001D1F63" w:rsidP="001D1F63">
      <w:pPr>
        <w:pStyle w:val="Heading2"/>
        <w:rPr>
          <w:rFonts w:ascii="Segoe UI" w:eastAsia="Times New Roman" w:hAnsi="Segoe UI" w:cs="Segoe UI"/>
          <w:sz w:val="18"/>
          <w:szCs w:val="18"/>
        </w:rPr>
      </w:pPr>
      <w:r w:rsidRPr="00EF5F61">
        <w:rPr>
          <w:rFonts w:eastAsia="Times New Roman"/>
        </w:rPr>
        <w:t>Learning and session objectives: </w:t>
      </w:r>
    </w:p>
    <w:p w14:paraId="590D8A4A" w14:textId="692416F0" w:rsidR="001D1F63" w:rsidRPr="00EF5F61" w:rsidRDefault="008F5F06" w:rsidP="001D1F63">
      <w:pPr>
        <w:pStyle w:val="ListParagraph"/>
        <w:numPr>
          <w:ilvl w:val="0"/>
          <w:numId w:val="1"/>
        </w:numPr>
      </w:pPr>
      <w:r>
        <w:t>Explore the nurse-specific contributions to tele-compliance to ensure HIPAA rules are followed and risk management is optimized to keep patients safe</w:t>
      </w:r>
      <w:r w:rsidR="001D1F63" w:rsidRPr="00EF5F61">
        <w:t> </w:t>
      </w:r>
    </w:p>
    <w:p w14:paraId="777F1C9C" w14:textId="536C1642" w:rsidR="001D1F63" w:rsidRDefault="001D1F63" w:rsidP="001D1F63">
      <w:pPr>
        <w:pStyle w:val="ListParagraph"/>
        <w:numPr>
          <w:ilvl w:val="0"/>
          <w:numId w:val="1"/>
        </w:numPr>
      </w:pPr>
      <w:r w:rsidRPr="00EF5F61">
        <w:t>Appreciate</w:t>
      </w:r>
      <w:r w:rsidR="0022628B">
        <w:t xml:space="preserve"> the contributions nurses can make to billing correctly and capturing revenue while expanding access and options for patients through telehealth</w:t>
      </w:r>
      <w:r w:rsidRPr="00EF5F61">
        <w:t> </w:t>
      </w:r>
    </w:p>
    <w:p w14:paraId="3DA8F56A" w14:textId="2BC6DB10" w:rsidR="0022628B" w:rsidRDefault="0022628B" w:rsidP="001D1F63">
      <w:pPr>
        <w:pStyle w:val="ListParagraph"/>
        <w:numPr>
          <w:ilvl w:val="0"/>
          <w:numId w:val="1"/>
        </w:numPr>
      </w:pPr>
      <w:r>
        <w:t xml:space="preserve">Consider how to advocate for and elevate nurse responsibilities to drive top-of-licensure performance </w:t>
      </w:r>
      <w:r w:rsidR="005E6701">
        <w:t>in the realm of telehealth and virtual services</w:t>
      </w:r>
    </w:p>
    <w:p w14:paraId="09FAA626" w14:textId="3F356F06" w:rsidR="00982D6A" w:rsidRPr="00070212" w:rsidRDefault="005E6701" w:rsidP="008860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ajorEastAsia" w:hAnsi="Arial" w:cstheme="majorBidi"/>
          <w:b/>
          <w:bCs/>
          <w:color w:val="69BE46"/>
          <w:sz w:val="28"/>
          <w:szCs w:val="28"/>
        </w:rPr>
      </w:pPr>
      <w:r>
        <w:t xml:space="preserve">Apply improvement science to </w:t>
      </w:r>
      <w:r w:rsidR="0078346E">
        <w:t>bolster advocacy for the nurse role in telehealth</w:t>
      </w:r>
    </w:p>
    <w:sectPr w:rsidR="00982D6A" w:rsidRPr="00070212" w:rsidSect="007001C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75A6" w14:textId="77777777" w:rsidR="00F33855" w:rsidRDefault="00F33855" w:rsidP="003A7EDC">
      <w:r>
        <w:separator/>
      </w:r>
    </w:p>
  </w:endnote>
  <w:endnote w:type="continuationSeparator" w:id="0">
    <w:p w14:paraId="00384759" w14:textId="77777777" w:rsidR="00F33855" w:rsidRDefault="00F33855" w:rsidP="003A7EDC">
      <w:r>
        <w:continuationSeparator/>
      </w:r>
    </w:p>
  </w:endnote>
  <w:endnote w:type="continuationNotice" w:id="1">
    <w:p w14:paraId="03A5CE76" w14:textId="77777777" w:rsidR="00F33855" w:rsidRDefault="00F338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Arial"/>
    <w:charset w:val="00"/>
    <w:family w:val="auto"/>
    <w:pitch w:val="variable"/>
    <w:sig w:usb0="00000807" w:usb1="40000000" w:usb2="00000000" w:usb3="00000000" w:csb0="0000002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48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52E22" w14:textId="77777777" w:rsidR="00670A96" w:rsidRPr="00202264" w:rsidRDefault="00670A96" w:rsidP="003A7EDC">
        <w:pPr>
          <w:pStyle w:val="Footer"/>
        </w:pPr>
        <w:r w:rsidRPr="00202264">
          <w:t xml:space="preserve">Page </w:t>
        </w:r>
        <w:r w:rsidRPr="00202264">
          <w:fldChar w:fldCharType="begin"/>
        </w:r>
        <w:r w:rsidRPr="00202264">
          <w:instrText xml:space="preserve"> PAGE   \* MERGEFORMAT </w:instrText>
        </w:r>
        <w:r w:rsidRPr="00202264">
          <w:fldChar w:fldCharType="separate"/>
        </w:r>
        <w:r w:rsidRPr="00202264">
          <w:rPr>
            <w:noProof/>
          </w:rPr>
          <w:t>2</w:t>
        </w:r>
        <w:r w:rsidRPr="0020226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B410" w14:textId="77777777" w:rsidR="00670A96" w:rsidRDefault="00670A96" w:rsidP="003A7ED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0224D" wp14:editId="0450CF20">
          <wp:simplePos x="0" y="0"/>
          <wp:positionH relativeFrom="column">
            <wp:posOffset>-680222</wp:posOffset>
          </wp:positionH>
          <wp:positionV relativeFrom="paragraph">
            <wp:posOffset>-281162</wp:posOffset>
          </wp:positionV>
          <wp:extent cx="7772400" cy="94183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-template-bg-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41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9A747" w14:textId="77777777" w:rsidR="00F33855" w:rsidRDefault="00F33855" w:rsidP="003A7EDC">
      <w:r>
        <w:separator/>
      </w:r>
    </w:p>
  </w:footnote>
  <w:footnote w:type="continuationSeparator" w:id="0">
    <w:p w14:paraId="16599110" w14:textId="77777777" w:rsidR="00F33855" w:rsidRDefault="00F33855" w:rsidP="003A7EDC">
      <w:r>
        <w:continuationSeparator/>
      </w:r>
    </w:p>
  </w:footnote>
  <w:footnote w:type="continuationNotice" w:id="1">
    <w:p w14:paraId="0BE8912F" w14:textId="77777777" w:rsidR="00F33855" w:rsidRDefault="00F338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6B84" w14:textId="77777777" w:rsidR="00670A96" w:rsidRDefault="00670A96" w:rsidP="003A7EDC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95522EB" wp14:editId="222943BA">
          <wp:simplePos x="0" y="0"/>
          <wp:positionH relativeFrom="column">
            <wp:posOffset>-709532</wp:posOffset>
          </wp:positionH>
          <wp:positionV relativeFrom="paragraph">
            <wp:posOffset>-633730</wp:posOffset>
          </wp:positionV>
          <wp:extent cx="7792720" cy="1376680"/>
          <wp:effectExtent l="0" t="0" r="0" b="0"/>
          <wp:wrapTight wrapText="bothSides">
            <wp:wrapPolygon edited="0">
              <wp:start x="0" y="0"/>
              <wp:lineTo x="0" y="3288"/>
              <wp:lineTo x="21544" y="3288"/>
              <wp:lineTo x="2154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 n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720" cy="137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78AAF" w14:textId="77777777" w:rsidR="00670A96" w:rsidRDefault="00670A96" w:rsidP="003A7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A076" w14:textId="098A8672" w:rsidR="00670A96" w:rsidRDefault="007E6B3B" w:rsidP="003A7EDC">
    <w:pPr>
      <w:pStyle w:val="Header"/>
    </w:pPr>
    <w:r>
      <w:rPr>
        <w:noProof/>
      </w:rPr>
      <w:drawing>
        <wp:inline distT="0" distB="0" distL="0" distR="0" wp14:anchorId="2254716C" wp14:editId="2A075902">
          <wp:extent cx="5772084" cy="847917"/>
          <wp:effectExtent l="0" t="0" r="635" b="9525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F16572A8-EFCD-429D-8544-72718BBB3152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799" cy="889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01C1">
      <w:rPr>
        <w:noProof/>
      </w:rPr>
      <w:drawing>
        <wp:anchor distT="0" distB="0" distL="114300" distR="114300" simplePos="0" relativeHeight="251658242" behindDoc="1" locked="0" layoutInCell="1" allowOverlap="1" wp14:anchorId="782768CB" wp14:editId="5EA477FC">
          <wp:simplePos x="0" y="0"/>
          <wp:positionH relativeFrom="column">
            <wp:posOffset>-702386</wp:posOffset>
          </wp:positionH>
          <wp:positionV relativeFrom="paragraph">
            <wp:posOffset>-635000</wp:posOffset>
          </wp:positionV>
          <wp:extent cx="7792720" cy="1376680"/>
          <wp:effectExtent l="0" t="0" r="0" b="0"/>
          <wp:wrapTight wrapText="bothSides">
            <wp:wrapPolygon edited="0">
              <wp:start x="0" y="0"/>
              <wp:lineTo x="0" y="3288"/>
              <wp:lineTo x="21544" y="3288"/>
              <wp:lineTo x="2154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 n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720" cy="137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18CE9" w14:textId="77777777" w:rsidR="00670A96" w:rsidRDefault="00670A96" w:rsidP="003A7EDC">
    <w:pPr>
      <w:pStyle w:val="Header"/>
    </w:pPr>
  </w:p>
  <w:p w14:paraId="76B78967" w14:textId="77777777" w:rsidR="00670A96" w:rsidRDefault="00670A96" w:rsidP="003A7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51A0"/>
    <w:multiLevelType w:val="hybridMultilevel"/>
    <w:tmpl w:val="64BE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5BC"/>
    <w:multiLevelType w:val="hybridMultilevel"/>
    <w:tmpl w:val="8F0EB356"/>
    <w:lvl w:ilvl="0" w:tplc="EF648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36D4"/>
    <w:multiLevelType w:val="hybridMultilevel"/>
    <w:tmpl w:val="55B204DE"/>
    <w:lvl w:ilvl="0" w:tplc="EF648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402C"/>
    <w:multiLevelType w:val="hybridMultilevel"/>
    <w:tmpl w:val="171A8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B52"/>
    <w:multiLevelType w:val="hybridMultilevel"/>
    <w:tmpl w:val="D8A8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71A3"/>
    <w:multiLevelType w:val="hybridMultilevel"/>
    <w:tmpl w:val="BA3C4A52"/>
    <w:lvl w:ilvl="0" w:tplc="FB0EE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0A01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088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72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086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7AAA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52F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D029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53AC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061D89"/>
    <w:multiLevelType w:val="hybridMultilevel"/>
    <w:tmpl w:val="6DB088AA"/>
    <w:lvl w:ilvl="0" w:tplc="EF648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78BF"/>
    <w:multiLevelType w:val="hybridMultilevel"/>
    <w:tmpl w:val="FB44260A"/>
    <w:lvl w:ilvl="0" w:tplc="EF648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596F"/>
    <w:multiLevelType w:val="hybridMultilevel"/>
    <w:tmpl w:val="68E8EC6A"/>
    <w:lvl w:ilvl="0" w:tplc="65E80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C29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0690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EEA7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E47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F720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7AF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EE0B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C206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4466D5"/>
    <w:multiLevelType w:val="hybridMultilevel"/>
    <w:tmpl w:val="7DBC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B086F"/>
    <w:multiLevelType w:val="hybridMultilevel"/>
    <w:tmpl w:val="C8AA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DC"/>
    <w:rsid w:val="00017632"/>
    <w:rsid w:val="000337A9"/>
    <w:rsid w:val="00034354"/>
    <w:rsid w:val="000359F8"/>
    <w:rsid w:val="00041132"/>
    <w:rsid w:val="00070212"/>
    <w:rsid w:val="00071913"/>
    <w:rsid w:val="00081877"/>
    <w:rsid w:val="0011022D"/>
    <w:rsid w:val="00121DC2"/>
    <w:rsid w:val="00123615"/>
    <w:rsid w:val="00165AD0"/>
    <w:rsid w:val="00166BD0"/>
    <w:rsid w:val="001703B2"/>
    <w:rsid w:val="00181473"/>
    <w:rsid w:val="00186515"/>
    <w:rsid w:val="00191AA7"/>
    <w:rsid w:val="001B6262"/>
    <w:rsid w:val="001C08A9"/>
    <w:rsid w:val="001C3B38"/>
    <w:rsid w:val="001D1F63"/>
    <w:rsid w:val="001E6F5B"/>
    <w:rsid w:val="001E7386"/>
    <w:rsid w:val="001F358F"/>
    <w:rsid w:val="00200975"/>
    <w:rsid w:val="00202264"/>
    <w:rsid w:val="00204E94"/>
    <w:rsid w:val="00217F03"/>
    <w:rsid w:val="0022628B"/>
    <w:rsid w:val="00232704"/>
    <w:rsid w:val="00234715"/>
    <w:rsid w:val="00256455"/>
    <w:rsid w:val="002573B4"/>
    <w:rsid w:val="00275400"/>
    <w:rsid w:val="002848E1"/>
    <w:rsid w:val="002A33A7"/>
    <w:rsid w:val="002B636D"/>
    <w:rsid w:val="002D44F6"/>
    <w:rsid w:val="002D7835"/>
    <w:rsid w:val="002E18A3"/>
    <w:rsid w:val="002F19A7"/>
    <w:rsid w:val="00310DEA"/>
    <w:rsid w:val="003309C3"/>
    <w:rsid w:val="003404C9"/>
    <w:rsid w:val="0035098A"/>
    <w:rsid w:val="00361918"/>
    <w:rsid w:val="003719C3"/>
    <w:rsid w:val="0038013F"/>
    <w:rsid w:val="0038070B"/>
    <w:rsid w:val="00395CEF"/>
    <w:rsid w:val="003A598F"/>
    <w:rsid w:val="003A7EDC"/>
    <w:rsid w:val="003B177D"/>
    <w:rsid w:val="003C068A"/>
    <w:rsid w:val="003D24A9"/>
    <w:rsid w:val="003D6C03"/>
    <w:rsid w:val="003F7CB8"/>
    <w:rsid w:val="00403326"/>
    <w:rsid w:val="00421868"/>
    <w:rsid w:val="00424340"/>
    <w:rsid w:val="00441516"/>
    <w:rsid w:val="004561EB"/>
    <w:rsid w:val="00467767"/>
    <w:rsid w:val="00481E6A"/>
    <w:rsid w:val="004A7384"/>
    <w:rsid w:val="004C36D4"/>
    <w:rsid w:val="004D1CE1"/>
    <w:rsid w:val="004D3595"/>
    <w:rsid w:val="004D3C6A"/>
    <w:rsid w:val="004E5ECB"/>
    <w:rsid w:val="004F61F9"/>
    <w:rsid w:val="00510199"/>
    <w:rsid w:val="00513218"/>
    <w:rsid w:val="0052267D"/>
    <w:rsid w:val="00525408"/>
    <w:rsid w:val="005268A3"/>
    <w:rsid w:val="00536BFF"/>
    <w:rsid w:val="00556D0E"/>
    <w:rsid w:val="005609B2"/>
    <w:rsid w:val="005823A8"/>
    <w:rsid w:val="005B04F7"/>
    <w:rsid w:val="005B0F5D"/>
    <w:rsid w:val="005B3C4F"/>
    <w:rsid w:val="005E6701"/>
    <w:rsid w:val="0063693B"/>
    <w:rsid w:val="00645C42"/>
    <w:rsid w:val="00662448"/>
    <w:rsid w:val="00664613"/>
    <w:rsid w:val="006652B1"/>
    <w:rsid w:val="00670166"/>
    <w:rsid w:val="00670A96"/>
    <w:rsid w:val="0067529B"/>
    <w:rsid w:val="006853B4"/>
    <w:rsid w:val="00696B30"/>
    <w:rsid w:val="006B39E7"/>
    <w:rsid w:val="006C0C61"/>
    <w:rsid w:val="006D039E"/>
    <w:rsid w:val="006D4D5F"/>
    <w:rsid w:val="007001C1"/>
    <w:rsid w:val="007005B6"/>
    <w:rsid w:val="007169EC"/>
    <w:rsid w:val="007408D6"/>
    <w:rsid w:val="007418A9"/>
    <w:rsid w:val="00742172"/>
    <w:rsid w:val="007457BF"/>
    <w:rsid w:val="00780A93"/>
    <w:rsid w:val="0078346E"/>
    <w:rsid w:val="007A19AF"/>
    <w:rsid w:val="007B4843"/>
    <w:rsid w:val="007C0C7E"/>
    <w:rsid w:val="007C4A09"/>
    <w:rsid w:val="007E56AD"/>
    <w:rsid w:val="007E65DB"/>
    <w:rsid w:val="007E6B3B"/>
    <w:rsid w:val="00816ED3"/>
    <w:rsid w:val="0084384D"/>
    <w:rsid w:val="008526A0"/>
    <w:rsid w:val="00877DBC"/>
    <w:rsid w:val="008820E6"/>
    <w:rsid w:val="008A34A2"/>
    <w:rsid w:val="008B0264"/>
    <w:rsid w:val="008C2B2A"/>
    <w:rsid w:val="008C4130"/>
    <w:rsid w:val="008C5F9F"/>
    <w:rsid w:val="008D27CF"/>
    <w:rsid w:val="008F3B51"/>
    <w:rsid w:val="008F5F06"/>
    <w:rsid w:val="00915273"/>
    <w:rsid w:val="009269C2"/>
    <w:rsid w:val="00932E50"/>
    <w:rsid w:val="00944B52"/>
    <w:rsid w:val="00962EA3"/>
    <w:rsid w:val="00966398"/>
    <w:rsid w:val="00976425"/>
    <w:rsid w:val="00982D6A"/>
    <w:rsid w:val="009C4189"/>
    <w:rsid w:val="009D643B"/>
    <w:rsid w:val="009F1508"/>
    <w:rsid w:val="009F26ED"/>
    <w:rsid w:val="009F73BB"/>
    <w:rsid w:val="00A0152E"/>
    <w:rsid w:val="00A02F8E"/>
    <w:rsid w:val="00A03A63"/>
    <w:rsid w:val="00A15728"/>
    <w:rsid w:val="00A15CD7"/>
    <w:rsid w:val="00A1712C"/>
    <w:rsid w:val="00A21482"/>
    <w:rsid w:val="00A23D8A"/>
    <w:rsid w:val="00A35D58"/>
    <w:rsid w:val="00A515D0"/>
    <w:rsid w:val="00A57478"/>
    <w:rsid w:val="00A704F9"/>
    <w:rsid w:val="00AA0478"/>
    <w:rsid w:val="00AB31B0"/>
    <w:rsid w:val="00AF1333"/>
    <w:rsid w:val="00AF3E06"/>
    <w:rsid w:val="00AF7EDA"/>
    <w:rsid w:val="00B0371C"/>
    <w:rsid w:val="00B36762"/>
    <w:rsid w:val="00B50182"/>
    <w:rsid w:val="00B52E4D"/>
    <w:rsid w:val="00B60B69"/>
    <w:rsid w:val="00B623CF"/>
    <w:rsid w:val="00B70D53"/>
    <w:rsid w:val="00B718F7"/>
    <w:rsid w:val="00B738AB"/>
    <w:rsid w:val="00BE12C0"/>
    <w:rsid w:val="00C03F23"/>
    <w:rsid w:val="00C139B0"/>
    <w:rsid w:val="00C200AC"/>
    <w:rsid w:val="00C22E1B"/>
    <w:rsid w:val="00C4469A"/>
    <w:rsid w:val="00C509A8"/>
    <w:rsid w:val="00C64906"/>
    <w:rsid w:val="00C90DC1"/>
    <w:rsid w:val="00CA1E73"/>
    <w:rsid w:val="00CA2820"/>
    <w:rsid w:val="00CA6124"/>
    <w:rsid w:val="00CC1C36"/>
    <w:rsid w:val="00CC2D74"/>
    <w:rsid w:val="00CF65DB"/>
    <w:rsid w:val="00D05FB3"/>
    <w:rsid w:val="00D12D77"/>
    <w:rsid w:val="00D160A8"/>
    <w:rsid w:val="00D217EB"/>
    <w:rsid w:val="00D32312"/>
    <w:rsid w:val="00D82012"/>
    <w:rsid w:val="00D87A9D"/>
    <w:rsid w:val="00D913C9"/>
    <w:rsid w:val="00DA03EE"/>
    <w:rsid w:val="00DA200B"/>
    <w:rsid w:val="00DC386F"/>
    <w:rsid w:val="00DD12E4"/>
    <w:rsid w:val="00DE1AED"/>
    <w:rsid w:val="00DF7352"/>
    <w:rsid w:val="00E11BED"/>
    <w:rsid w:val="00E11F8A"/>
    <w:rsid w:val="00E1542F"/>
    <w:rsid w:val="00E44646"/>
    <w:rsid w:val="00E50F31"/>
    <w:rsid w:val="00E6093F"/>
    <w:rsid w:val="00E64FB2"/>
    <w:rsid w:val="00E76CFC"/>
    <w:rsid w:val="00E83B01"/>
    <w:rsid w:val="00E870B8"/>
    <w:rsid w:val="00E97798"/>
    <w:rsid w:val="00EA0382"/>
    <w:rsid w:val="00EA0FE3"/>
    <w:rsid w:val="00EA70CF"/>
    <w:rsid w:val="00EC1C4A"/>
    <w:rsid w:val="00ED306E"/>
    <w:rsid w:val="00ED7A0C"/>
    <w:rsid w:val="00EF5F61"/>
    <w:rsid w:val="00F002CD"/>
    <w:rsid w:val="00F178DD"/>
    <w:rsid w:val="00F24C2B"/>
    <w:rsid w:val="00F30FE4"/>
    <w:rsid w:val="00F31F65"/>
    <w:rsid w:val="00F33855"/>
    <w:rsid w:val="00F400B0"/>
    <w:rsid w:val="00F528ED"/>
    <w:rsid w:val="00F631D8"/>
    <w:rsid w:val="00F735B1"/>
    <w:rsid w:val="00F76264"/>
    <w:rsid w:val="00F807E2"/>
    <w:rsid w:val="00F95224"/>
    <w:rsid w:val="00FA0711"/>
    <w:rsid w:val="00FA5D94"/>
    <w:rsid w:val="00FF4B05"/>
    <w:rsid w:val="032C7FDF"/>
    <w:rsid w:val="04F58252"/>
    <w:rsid w:val="062EB460"/>
    <w:rsid w:val="1230345C"/>
    <w:rsid w:val="14DC4878"/>
    <w:rsid w:val="1AC08964"/>
    <w:rsid w:val="1CEB7331"/>
    <w:rsid w:val="1CF712C6"/>
    <w:rsid w:val="1DE78AB7"/>
    <w:rsid w:val="206372EE"/>
    <w:rsid w:val="2367F156"/>
    <w:rsid w:val="245BC27B"/>
    <w:rsid w:val="27652668"/>
    <w:rsid w:val="31559345"/>
    <w:rsid w:val="3C2F7B60"/>
    <w:rsid w:val="43D8587A"/>
    <w:rsid w:val="46C694EB"/>
    <w:rsid w:val="4A26D7A8"/>
    <w:rsid w:val="4BB262A0"/>
    <w:rsid w:val="4C3613C4"/>
    <w:rsid w:val="50C69A6E"/>
    <w:rsid w:val="5144000A"/>
    <w:rsid w:val="51EC6769"/>
    <w:rsid w:val="5689E9A9"/>
    <w:rsid w:val="58524D7E"/>
    <w:rsid w:val="6B11CE94"/>
    <w:rsid w:val="6B9C1FE3"/>
    <w:rsid w:val="75A7C4C8"/>
    <w:rsid w:val="7AAE8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B71AD"/>
  <w15:chartTrackingRefBased/>
  <w15:docId w15:val="{DB4D76F4-D8D4-40FD-9ACA-A01E9B60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D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ED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EDC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EDC"/>
    <w:pPr>
      <w:keepNext/>
      <w:keepLines/>
      <w:spacing w:before="40" w:after="0"/>
      <w:outlineLvl w:val="2"/>
    </w:pPr>
    <w:rPr>
      <w:rFonts w:ascii="Arial" w:eastAsiaTheme="majorEastAsia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96"/>
  </w:style>
  <w:style w:type="paragraph" w:styleId="Footer">
    <w:name w:val="footer"/>
    <w:basedOn w:val="Normal"/>
    <w:link w:val="FooterChar"/>
    <w:uiPriority w:val="99"/>
    <w:unhideWhenUsed/>
    <w:rsid w:val="0067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96"/>
  </w:style>
  <w:style w:type="paragraph" w:styleId="NormalWeb">
    <w:name w:val="Normal (Web)"/>
    <w:basedOn w:val="Normal"/>
    <w:uiPriority w:val="99"/>
    <w:unhideWhenUsed/>
    <w:rsid w:val="0020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7ED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EDC"/>
    <w:rPr>
      <w:rFonts w:ascii="Arial" w:eastAsiaTheme="majorEastAsia" w:hAnsi="Arial" w:cs="Arial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EDC"/>
    <w:rPr>
      <w:rFonts w:ascii="Arial" w:eastAsiaTheme="majorEastAsia" w:hAnsi="Arial" w:cs="Arial"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A7EDC"/>
    <w:pPr>
      <w:spacing w:before="240"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EDC"/>
    <w:rPr>
      <w:rFonts w:ascii="Arial" w:eastAsiaTheme="majorEastAsia" w:hAnsi="Arial" w:cs="Arial"/>
      <w:b/>
      <w:color w:val="000000" w:themeColor="text1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202264"/>
    <w:pPr>
      <w:ind w:left="720"/>
      <w:contextualSpacing/>
    </w:pPr>
    <w:rPr>
      <w:rFonts w:cs="Assistant"/>
      <w:color w:val="262626" w:themeColor="text1" w:themeTint="D9"/>
      <w:szCs w:val="21"/>
    </w:rPr>
  </w:style>
  <w:style w:type="paragraph" w:customStyle="1" w:styleId="paragraph">
    <w:name w:val="paragraph"/>
    <w:basedOn w:val="Normal"/>
    <w:rsid w:val="00EF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F5F61"/>
  </w:style>
  <w:style w:type="character" w:customStyle="1" w:styleId="eop">
    <w:name w:val="eop"/>
    <w:basedOn w:val="DefaultParagraphFont"/>
    <w:rsid w:val="00EF5F61"/>
  </w:style>
  <w:style w:type="paragraph" w:styleId="BalloonText">
    <w:name w:val="Balloon Text"/>
    <w:basedOn w:val="Normal"/>
    <w:link w:val="BalloonTextChar"/>
    <w:uiPriority w:val="99"/>
    <w:semiHidden/>
    <w:unhideWhenUsed/>
    <w:rsid w:val="001C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38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4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bearden@comagine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omaginehealth.zoom.us/meeting/register/tJ0qdeCsrjMpG9fnRR4DQAq9Dh_GP3rHPcf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95F1E88629F4196F386DC6A0D3A1E" ma:contentTypeVersion="6" ma:contentTypeDescription="Create a new document." ma:contentTypeScope="" ma:versionID="39a7259b6e3f66d9dfe3685c195958a2">
  <xsd:schema xmlns:xsd="http://www.w3.org/2001/XMLSchema" xmlns:xs="http://www.w3.org/2001/XMLSchema" xmlns:p="http://schemas.microsoft.com/office/2006/metadata/properties" xmlns:ns2="714bd333-7230-4346-9b7e-b0ecd1a13dc8" xmlns:ns3="1e4a1140-ec81-41b3-bebe-02c564689d73" targetNamespace="http://schemas.microsoft.com/office/2006/metadata/properties" ma:root="true" ma:fieldsID="76e55abe090e4fcf59691dffb655796a" ns2:_="" ns3:_="">
    <xsd:import namespace="714bd333-7230-4346-9b7e-b0ecd1a13dc8"/>
    <xsd:import namespace="1e4a1140-ec81-41b3-bebe-02c564689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bd333-7230-4346-9b7e-b0ecd1a13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a1140-ec81-41b3-bebe-02c564689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4a1140-ec81-41b3-bebe-02c564689d73">
      <UserInfo>
        <DisplayName>Adrienne Butterwick</DisplayName>
        <AccountId>17</AccountId>
        <AccountType/>
      </UserInfo>
      <UserInfo>
        <DisplayName>Sara Phillips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A288DC-89CA-4E06-ACBB-1C637EF4C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009BE-8EDF-428A-88BD-B73298260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bd333-7230-4346-9b7e-b0ecd1a13dc8"/>
    <ds:schemaRef ds:uri="1e4a1140-ec81-41b3-bebe-02c564689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451B8-8FF8-49AE-B3FA-2D753515DE36}">
  <ds:schemaRefs>
    <ds:schemaRef ds:uri="http://schemas.microsoft.com/office/2006/metadata/properties"/>
    <ds:schemaRef ds:uri="http://schemas.microsoft.com/office/infopath/2007/PartnerControls"/>
    <ds:schemaRef ds:uri="1e4a1140-ec81-41b3-bebe-02c564689d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Links>
    <vt:vector size="12" baseType="variant">
      <vt:variant>
        <vt:i4>3014680</vt:i4>
      </vt:variant>
      <vt:variant>
        <vt:i4>3</vt:i4>
      </vt:variant>
      <vt:variant>
        <vt:i4>0</vt:i4>
      </vt:variant>
      <vt:variant>
        <vt:i4>5</vt:i4>
      </vt:variant>
      <vt:variant>
        <vt:lpwstr>mailto:tbearden@comagine.org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https://comaginehealth.zoom.us/meeting/register/tJ0qdeCsrjMpG9fnRR4DQAq9Dh_GP3rHPcf0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Land</dc:creator>
  <cp:keywords/>
  <dc:description/>
  <cp:lastModifiedBy>Sara Phillips</cp:lastModifiedBy>
  <cp:revision>16</cp:revision>
  <cp:lastPrinted>2020-07-17T19:18:00Z</cp:lastPrinted>
  <dcterms:created xsi:type="dcterms:W3CDTF">2020-10-30T14:13:00Z</dcterms:created>
  <dcterms:modified xsi:type="dcterms:W3CDTF">2020-10-30T14:45:00Z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0x0101004DE95F1E88629F4196F386DC6A0D3A1E</vt:lpwstr>
  </property>
  <property fmtid="{D5CDD505-2E9C-101B-9397-08002B2CF9AE}" pid="3" name="_dlc_DocIdItemGuid">
    <vt:lpwstr>39d4dda7-8f41-4d7a-a1a8-714600beba3d</vt:lpwstr>
  </property>
</Properties>
</file>